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B5262" w14:textId="5075BAB3" w:rsidR="00861B3E" w:rsidRPr="00861B3E" w:rsidRDefault="00861B3E" w:rsidP="00890401">
      <w:pPr>
        <w:spacing w:line="480" w:lineRule="auto"/>
        <w:rPr>
          <w:rFonts w:ascii="Times New Roman" w:hAnsi="Times New Roman" w:cs="Times New Roman"/>
          <w:b/>
          <w:bCs/>
          <w:sz w:val="28"/>
          <w:szCs w:val="28"/>
          <w:lang/>
        </w:rPr>
      </w:pPr>
      <w:r w:rsidRPr="00861B3E">
        <w:rPr>
          <w:rFonts w:ascii="Times New Roman" w:hAnsi="Times New Roman" w:cs="Times New Roman"/>
          <w:b/>
          <w:bCs/>
          <w:sz w:val="28"/>
          <w:szCs w:val="28"/>
          <w:lang/>
        </w:rPr>
        <w:t>Supplementary data</w:t>
      </w:r>
    </w:p>
    <w:p w14:paraId="4F88569E" w14:textId="77777777" w:rsidR="00861B3E" w:rsidRPr="00861B3E" w:rsidRDefault="00861B3E" w:rsidP="00890401">
      <w:pPr>
        <w:spacing w:line="480" w:lineRule="auto"/>
        <w:rPr>
          <w:rFonts w:ascii="Times New Roman" w:hAnsi="Times New Roman" w:cs="Times New Roman"/>
          <w:b/>
          <w:bCs/>
          <w:sz w:val="24"/>
          <w:szCs w:val="24"/>
          <w:lang/>
        </w:rPr>
      </w:pPr>
    </w:p>
    <w:p w14:paraId="28679241" w14:textId="3F7443A7" w:rsidR="00861533" w:rsidRPr="00DA225E" w:rsidRDefault="00861B3E" w:rsidP="00890401">
      <w:pPr>
        <w:spacing w:line="480" w:lineRule="auto"/>
        <w:rPr>
          <w:rFonts w:ascii="Times New Roman" w:hAnsi="Times New Roman" w:cs="Times New Roman"/>
          <w:b/>
          <w:bCs/>
          <w:sz w:val="24"/>
          <w:szCs w:val="24"/>
        </w:rPr>
      </w:pPr>
      <w:r>
        <w:rPr>
          <w:rFonts w:ascii="Times New Roman" w:hAnsi="Times New Roman" w:cs="Times New Roman"/>
          <w:b/>
          <w:bCs/>
          <w:sz w:val="24"/>
          <w:szCs w:val="24"/>
          <w:lang/>
        </w:rPr>
        <w:t>Supplementary Methods S1</w:t>
      </w:r>
      <w:r w:rsidR="00890401" w:rsidRPr="00DA225E">
        <w:rPr>
          <w:rFonts w:ascii="Times New Roman" w:hAnsi="Times New Roman" w:cs="Times New Roman"/>
          <w:b/>
          <w:bCs/>
          <w:sz w:val="24"/>
          <w:szCs w:val="24"/>
        </w:rPr>
        <w:t xml:space="preserve">. </w:t>
      </w:r>
      <w:r w:rsidR="00861533" w:rsidRPr="00DA225E">
        <w:rPr>
          <w:rFonts w:ascii="Times New Roman" w:hAnsi="Times New Roman" w:cs="Times New Roman"/>
          <w:b/>
          <w:bCs/>
          <w:sz w:val="24"/>
          <w:szCs w:val="24"/>
        </w:rPr>
        <w:t xml:space="preserve">Multi-day tag data </w:t>
      </w:r>
    </w:p>
    <w:p w14:paraId="7DDC6849" w14:textId="77777777" w:rsidR="00FC6612" w:rsidRDefault="00FC6612" w:rsidP="00890401">
      <w:pPr>
        <w:spacing w:line="480" w:lineRule="auto"/>
        <w:rPr>
          <w:rFonts w:ascii="Times New Roman" w:hAnsi="Times New Roman" w:cs="Times New Roman"/>
          <w:i/>
          <w:iCs/>
          <w:sz w:val="24"/>
          <w:szCs w:val="24"/>
        </w:rPr>
      </w:pPr>
    </w:p>
    <w:p w14:paraId="693AC36F" w14:textId="4E1E5CD6"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t>Data collection</w:t>
      </w:r>
    </w:p>
    <w:p w14:paraId="0E6864B3" w14:textId="038516DA"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Tag deployments were conducted from small 6-7 m Rigid Hull Inflatable Boats (RHIBs) equipped with a bow pulpit for a tagger to stand and use a 3-4 m pole to attach tags. Tags were attached with 3-4 stainless steel darts 4-6 cm long equipped with 1-2 rows of petals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{"citationItems":[{"id":"ITEM-1","itemData":{"DOI":"10.1186/s40317-016-0110-y","ISBN":"0022-0248","ISSN":"20503385","abstract":"As biologging technology has advanced to study whale behavior, various tag attachment methods have been developed. Suction cup attachments were developed for short-term (&lt;24 h) studies using high-resolution archival tags, and implantable or dart attachments were developed for long-term (months) studies using coarse-resolution satellite tags. The purpose of this study was to test various tag attachment configurations to increase the deployment duration of archival tags while minimizing potential physical impacts to the whale. From 2013 to 2015, 31 humpback whales (Megaptera novaeangliae) and 20 blue whales (Balaenoptera musculus) were tagged, allowing us to test 10 tag attachment configurations, grouped as suction cup, suction cup with dart, two-dart configurations with petals, four-dart configurations, and four-dart configurations with petals. Durations resulting from four-dart configurations with petals were greater than suction cup tags for humpback whales (P = 0.04). Durations resulting from four-dart configurations with petals were greater than all other tag attachment types for blue whales (P &lt; 0.04). There was no difference in reaction to tagging by tag attachment type for humpback (P = 0.19) or blue whales (P = 0.24). Tags attached with titanium darts were recovered with 2 darts (5 %) lost and 31 petals (14 %) broken, whereas tags attached with stainless steel darts were recovered with 1 dart (3 %) lost and 2 petals (1 %) broken. Re-sights of three tagged animals up to 34 days after tags detached showed no sign of tearing or swelling at the tag site. Tag attachments using four darts with petals remained on whales the longest with no increase in reaction to tagging by either species. Heat-treated stainless steel darts resulted in equivalent tag attachment durations as titanium darts but with reduced petal breakage. Attachments with four darts, despite creating additional points of entry for potential bacterial transfer, did not produce signs of tearing or swelling on animals re-sighted up to 34 days after tagging. Attaching archival tags with four stainless steel darts with petals on baleen whales will allow for the collection of weeks of fine-scale data, allowing researchers to answer questions about foraging, daily activity, and diel trends.","author":[{"dropping-particle":"","family":"Szesciorka","given":"Angela R.","non-dropping-particle":"","parse-names":false,"suffix":""},{"dropping-particle":"","family":"Calambokidis","given":"John","non-dropping-particle":"","parse-names":false,"suffix":""},{"dropping-particle":"","family":"Harvey","given":"James T.","non-dropping-particle":"","parse-names":false,"suffix":""}],"container-title":"Animal Biotelemetry","id":"ITEM-1","issue":"1","issued":{"date-parts":[["2016"]]},"page":"18","publisher":"BioMed Central","title":"Testing tag attachments to increase the attachment duration of archival tags on baleen whales","type":"article-journal","volume":"4"},"uris":["http://www.mendeley.com/documents/?uuid=a596de01-96f4-4c78-982f-77421cec5572"]},{"id":"ITEM-2","itemData":{"DOI":"10.3389/fmars.2019.00543","ISSN":"22967745","abstract":"We examine the dive and movement behavior of blue, fin, and humpback whales along the US West Coast in regions with high ship traffic where ship strikes have been identified as a major concern. All three species are known to feed in coastal waters near areas of high ship traffic. We analyzed data from 33 archival tag deployments representing over 3,000 h of data that were attached with suction-cups or short darts for periods &gt;20 h and recorded depth (≥ 1 Hz), fast-lock GPS positions and other sensors. There were clear differences among the three species but all showed a distinct diurnal difference in diving behavior. While dive depth varied among animals based on where prey was located, whales spent a high proportion of their time closer to the surface where they would be more vulnerable to ship strikes at night than in the day. This was most pronounced for blue whales where vulnerability was twice as high at night compared to the day. We also found differences in movement patterns of whales between day and night. Movements were more localized to specific areas in the day near prey resources while at night these movements often involved directional movements (though sometimes returning to the same area). We show how in several specific areas like the Santa Barbara Channel, these differences in movements and locations translate to a very different overlap with shipping lanes at night compared to the daytime locations, which is the basis for most sighting data.","author":[{"dropping-particle":"","family":"Calambokidis","given":"John","non-dropping-particle":"","parse-names":false,"suffix":""},{"dropping-particle":"","family":"Fahlbusch","given":"James A.","non-dropping-particle":"","parse-names":false,"suffix":""},{"dropping-particle":"","family":"Szesciorka","given":"Angela R.","non-dropping-particle":"","parse-names":false,"suffix":""},{"dropping-particle":"","family":"Southall","given":"Brandon L.","non-dropping-particle":"","parse-names":false,"suffix":""},{"dropping-particle":"","family":"Cade","given":"Dave E.","non-dropping-particle":"","parse-names":false,"suffix":""},{"dropping-particle":"","family":"Friedlaender","given":"Ari S.","non-dropping-particle":"","parse-names":false,"suffix":""},{"dropping-particle":"","family":"Goldbogen","given":"Jeremy A.","non-dropping-particle":"","parse-names":false,"suffix":""}],"container-title":"Frontiers in Marine Science","id":"ITEM-2","issued":{"date-parts":[["2019"]]},"page":"543","title":"Differential vulnerability to ship strikes between day and night for blue, fin, and humpback whales based on dive and movement data from medium duration archival tags","type":"article-journal","volume":"6"},"uris":["http://www.mendeley.com/documents/?uuid=b5a0c1f0-4f3a-4613-b72d-fc2d23f8c97b"]}],"mendeley":{"formattedCitation":"(Szesciorka &lt;i&gt;et al.&lt;/i&gt;, 2016; Calambokidis &lt;i&gt;et al.&lt;/i&gt;, 2019)","plainTextFormattedCitation":"(Szesciorka et al., 2016; Calambokidis et al., 2019)","previouslyFormattedCitation":"(Szesciorka &lt;i&gt;et al.&lt;/i&gt;, 2016; Calambokidis &lt;i&gt;et al.&lt;/i&gt;, 2019)"},"properties":{"noteIndex":0},"schema":"https://github.com/citation-style-language/schema/raw/master/csl-citation.json"}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(Szesciorka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xml:space="preserve">, 2016; Calambokidis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2019)</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Tags were recovered after they detached from the animal and floated to the surface with the aid of an Argos satellite transmitter, which provided rough position as well as when tags had detached from the whales (based on the number and quality of positions), and a VHF transmitter that was used to localize on tags with a direction antenna. </w:t>
      </w:r>
    </w:p>
    <w:p w14:paraId="55EBE5AB" w14:textId="354AB294"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For this study, we used 27 deployments that had at least 20 continuous hours of dive data along with high quality positions from an onboard GPS</w:t>
      </w:r>
      <w:r w:rsidR="00B94259" w:rsidRPr="00DA225E">
        <w:rPr>
          <w:rFonts w:ascii="Times New Roman" w:hAnsi="Times New Roman" w:cs="Times New Roman"/>
          <w:sz w:val="24"/>
          <w:szCs w:val="24"/>
        </w:rPr>
        <w:t xml:space="preserve"> (Table S1)</w:t>
      </w:r>
      <w:r w:rsidRPr="00DA225E">
        <w:rPr>
          <w:rFonts w:ascii="Times New Roman" w:hAnsi="Times New Roman" w:cs="Times New Roman"/>
          <w:sz w:val="24"/>
          <w:szCs w:val="24"/>
        </w:rPr>
        <w:t xml:space="preserve">. Tags used in this study consisted of two primary tag designs: 1) Wildlife Computers TDR10-F tag (n = 21), recording depth, temperature, light-level, </w:t>
      </w:r>
      <w:proofErr w:type="spellStart"/>
      <w:r w:rsidRPr="00DA225E">
        <w:rPr>
          <w:rFonts w:ascii="Times New Roman" w:hAnsi="Times New Roman" w:cs="Times New Roman"/>
          <w:sz w:val="24"/>
          <w:szCs w:val="24"/>
        </w:rPr>
        <w:t>Fastloc</w:t>
      </w:r>
      <w:proofErr w:type="spellEnd"/>
      <w:r w:rsidRPr="00DA225E">
        <w:rPr>
          <w:rFonts w:ascii="Times New Roman" w:hAnsi="Times New Roman" w:cs="Times New Roman"/>
          <w:sz w:val="24"/>
          <w:szCs w:val="24"/>
        </w:rPr>
        <w:t xml:space="preserve">® GPS, and, in most configurations, 3D accelerometry; this tag was modified to take a plate with darts and a satellite transmitter. 2) </w:t>
      </w:r>
      <w:proofErr w:type="spellStart"/>
      <w:r w:rsidRPr="00DA225E">
        <w:rPr>
          <w:rFonts w:ascii="Times New Roman" w:hAnsi="Times New Roman" w:cs="Times New Roman"/>
          <w:sz w:val="24"/>
          <w:szCs w:val="24"/>
        </w:rPr>
        <w:t>Acousonde</w:t>
      </w:r>
      <w:proofErr w:type="spellEnd"/>
      <w:r w:rsidRPr="00DA225E">
        <w:rPr>
          <w:rFonts w:ascii="Times New Roman" w:hAnsi="Times New Roman" w:cs="Times New Roman"/>
          <w:sz w:val="24"/>
          <w:szCs w:val="24"/>
        </w:rPr>
        <w:t xml:space="preserve"> acoustic tag (n = 6), which is a miniature, self-contained, autonomous acoustic/ultrasonic recorder, incorporating hydrophones as well as depth, altitude and orientation sensors, digital recording electronics, data storage, and battery with modified attachment plate with darts, satellite transmitter, </w:t>
      </w:r>
      <w:proofErr w:type="spellStart"/>
      <w:r w:rsidRPr="00DA225E">
        <w:rPr>
          <w:rFonts w:ascii="Times New Roman" w:hAnsi="Times New Roman" w:cs="Times New Roman"/>
          <w:sz w:val="24"/>
          <w:szCs w:val="24"/>
        </w:rPr>
        <w:t>Sirtrack</w:t>
      </w:r>
      <w:proofErr w:type="spellEnd"/>
      <w:r w:rsidRPr="00DA225E">
        <w:rPr>
          <w:rFonts w:ascii="Times New Roman" w:hAnsi="Times New Roman" w:cs="Times New Roman"/>
          <w:sz w:val="24"/>
          <w:szCs w:val="24"/>
        </w:rPr>
        <w:t xml:space="preserve"> </w:t>
      </w:r>
      <w:proofErr w:type="spellStart"/>
      <w:r w:rsidRPr="00DA225E">
        <w:rPr>
          <w:rFonts w:ascii="Times New Roman" w:hAnsi="Times New Roman" w:cs="Times New Roman"/>
          <w:sz w:val="24"/>
          <w:szCs w:val="24"/>
        </w:rPr>
        <w:t>FastGPS</w:t>
      </w:r>
      <w:proofErr w:type="spellEnd"/>
      <w:r w:rsidRPr="00DA225E">
        <w:rPr>
          <w:rFonts w:ascii="Times New Roman" w:hAnsi="Times New Roman" w:cs="Times New Roman"/>
          <w:sz w:val="24"/>
          <w:szCs w:val="24"/>
        </w:rPr>
        <w:t xml:space="preserve">, and custom-made syntactic floatation. </w:t>
      </w:r>
    </w:p>
    <w:p w14:paraId="55D6A544" w14:textId="255B4AAE"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lastRenderedPageBreak/>
        <w:t>Data processing</w:t>
      </w:r>
    </w:p>
    <w:p w14:paraId="268EFADF" w14:textId="77AD1A14"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Raw tag data was processed using custom MATLAB (</w:t>
      </w:r>
      <w:proofErr w:type="spellStart"/>
      <w:r w:rsidRPr="00DA225E">
        <w:rPr>
          <w:rFonts w:ascii="Times New Roman" w:hAnsi="Times New Roman" w:cs="Times New Roman"/>
          <w:sz w:val="24"/>
          <w:szCs w:val="24"/>
        </w:rPr>
        <w:t>Mathworks</w:t>
      </w:r>
      <w:proofErr w:type="spellEnd"/>
      <w:r w:rsidRPr="00DA225E">
        <w:rPr>
          <w:rFonts w:ascii="Times New Roman" w:hAnsi="Times New Roman" w:cs="Times New Roman"/>
          <w:sz w:val="24"/>
          <w:szCs w:val="24"/>
        </w:rPr>
        <w:t xml:space="preserve">, version 2017b) scripts following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{"citationItems":[{"id":"ITEM-1","itemData":{"DOI":"10.1016/j.cub.2016.07.037","ISSN":"09609822","abstract":"Rorqual whales exhibit an extreme lunge filter-feeding strategy characterized by acceleration to high speed and engulfment of a large volume of prey-laden water [1–4]. Although tagging studies have quantified the kinematics of lunge feeding, the timing of engulfment relative to body acceleration has been modeled conflictingly because it could never be directly measured [5–7]. The temporal coordination of these processes has a major impact on the hydrodynamics and energetics of this high-cost feeding strategy [5–9]. If engulfment and body acceleration are temporally distinct, the overall cost of this dynamic feeding event would be minimized. However, greater temporal overlap of these two phases would theoretically result in higher drag and greater energetic costs. To address this discrepancy, we used animal-borne synchronized video and 3D movement sensors to quantify the kinematics of both the skull and body during feeding events. Krill-feeding blue and humpback whales exhibited temporally distinct acceleration and engulfment phases, with humpback whales reaching maximum gape earlier than blue whales. In these whales, engulfment coincided largely with body deceleration; however, humpback whales pursuing more agile fish demonstrated highly variable coordination of skull and body kinematics in the context of complex prey-herding techniques. These data suggest that rorquals modulate the coordination of acceleration and engulfment to optimize foraging efficiency by minimizing locomotor costs and maximizing prey capture. Moreover, this newfound kinematic diversity observed among rorquals indicates that the energetic efficiency of foraging is driven both by the whale's engulfment capacity and the comparative locomotor capabilities of predator and prey.","author":[{"dropping-particle":"","family":"Cade","given":"David E.","non-dropping-particle":"","parse-names":false,"suffix":""},{"dropping-particle":"","family":"Friedlaender","given":"Ari S.","non-dropping-particle":"","parse-names":false,"suffix":""},{"dropping-particle":"","family":"Calambokidis","given":"John","non-dropping-particle":"","parse-names":false,"suffix":""},{"dropping-particle":"","family":"Goldbogen","given":"Jeremy A.","non-dropping-particle":"","parse-names":false,"suffix":""}],"container-title":"Current Biology","id":"ITEM-1","issue":"19","issued":{"date-parts":[["2016"]]},"page":"2617-2624","publisher":"Elsevier Ltd.","title":"Kinematic diversity in rorqual whale feeding mechanisms","type":"article-journal","volume":"26"},"uris":["http://www.mendeley.com/documents/?uuid=385bbe1a-08f2-4424-8352-7709f57f56e2"]}],"mendeley":{"formattedCitation":"(Cade &lt;i&gt;et al.&lt;/i&gt;, 2016)","manualFormatting":"Cade et al. (2016)","plainTextFormattedCitation":"(Cade et al., 2016)","previouslyFormattedCitation":"(Cade &lt;i&gt;et al.&lt;/i&gt;, 2016)"},"properties":{"noteIndex":0},"schema":"https://github.com/citation-style-language/schema/raw/master/csl-citation.json"}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Cade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All tags were equipped with depth and GPS sensors. Raw GPS location data were filtered for unrealistic whale speeds (&gt; 6 m/s) using the </w:t>
      </w:r>
      <w:proofErr w:type="spellStart"/>
      <w:r w:rsidRPr="00DA225E">
        <w:rPr>
          <w:rFonts w:ascii="Times New Roman" w:hAnsi="Times New Roman" w:cs="Times New Roman"/>
          <w:sz w:val="24"/>
          <w:szCs w:val="24"/>
        </w:rPr>
        <w:t>ArgosFilter</w:t>
      </w:r>
      <w:proofErr w:type="spellEnd"/>
      <w:r w:rsidRPr="00DA225E">
        <w:rPr>
          <w:rFonts w:ascii="Times New Roman" w:hAnsi="Times New Roman" w:cs="Times New Roman"/>
          <w:sz w:val="24"/>
          <w:szCs w:val="24"/>
        </w:rPr>
        <w:t xml:space="preserve"> package (Version 0.62) in R (Version 3.5.1). For tags with accelerometer sensors, the animal’s pitch, roll and speed were calculated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 xml:space="preserve">ADDIN CSL_CITATION {"citationItems":[{"id":"ITEM-1","itemData":{"DOI":"10.1242/jeb.170449","ISSN":"00220949","abstract":"How fast animals move is critical to understanding their energetic requirements, locomotor capacity and foraging performance, yet current methods for measuring speed via animal-attached devices are not universally applicable. Here, we present and evaluate a new method that relates forward speed to the stochastic motion of biologging devices as tag jiggle, the amplitude of the tag vibrations as measured by high sample rate accelerometers, increases exponentially with increasing speed. We successfully tested this method in a flow tank using two types of biologging devices and in situ on wild cetaceans spanning </w:instrText>
      </w:r>
      <w:r w:rsidR="00B228B8">
        <w:rPr>
          <w:rFonts w:ascii="Cambria Math" w:hAnsi="Cambria Math" w:cs="Cambria Math"/>
          <w:sz w:val="24"/>
          <w:szCs w:val="24"/>
        </w:rPr>
        <w:instrText>∼</w:instrText>
      </w:r>
      <w:r w:rsidR="00B228B8">
        <w:rPr>
          <w:rFonts w:ascii="Times New Roman" w:hAnsi="Times New Roman" w:cs="Times New Roman"/>
          <w:sz w:val="24"/>
          <w:szCs w:val="24"/>
        </w:rPr>
        <w:instrText>3 to &gt;20 m in length using two types of suction cup-attached tag and two types of dart-attached tag. This technique provides some advantages over other approaches for determining speed as it is device-orientation independent and relies only on a pressure sensor and a high sample rate accelerometer, sensors that are nearly universal across biologging device types.","author":[{"dropping-particle":"","family":"Cade","given":"David E.","non-dropping-particle":"","parse-names":false,"suffix":""},{"dropping-particle":"","family":"Barr","given":"Kelly R.","non-dropping-particle":"","parse-names":false,"suffix":""},{"dropping-particle":"","family":"Calambokidis","given":"John","non-dropping-particle":"","parse-names":false,"suffix":""},{"dropping-particle":"","family":"Friedlaender","given":"Ari S.","non-dropping-particle":"","parse-names":false,"suffix":""},{"dropping-particle":"","family":"Goldbogen","given":"Jeremy A.","non-dropping-particle":"","parse-names":false,"suffix":""}],"container-title":"Journal of Experimental Biology","id":"ITEM-1","issue":"2","issued":{"date-parts":[["2018"]]},"page":"170449","title":"Determining forward speed from accelerometer jiggle in aquatic environments","type":"article-journal","volume":"221"},"uris":["http://www.mendeley.com/documents/?uuid=63fd51e2-ca9a-43e7-ace2-5abacecdd6ac"]},{"id":"ITEM-2","itemData":{"author":[{"dropping-particle":"","family":"Johnson","given":"Mark P","non-dropping-particle":"","parse-names":false,"suffix":""},{"dropping-particle":"","family":"Tyack","given":"Peter L","non-dropping-particle":"","parse-names":false,"suffix":""}],"container-title":"IEEE Journal of Oceanic Engineering","id":"ITEM-2","issue":"1","issued":{"date-parts":[["2003"]]},"page":"3-12","title":"A digital acoustic recording tag for measuring the response of wild marine mammals to sound","type":"article-journal","volume":"28"},"uris":["http://www.mendeley.com/documents/?uuid=1c681d0d-542a-4bb3-9405-03b2699646e4"]}],"mendeley":{"formattedCitation":"(Johnson and Tyack, 2003; Cade &lt;i&gt;et al.&lt;/i&gt;, 2018)","plainTextFormattedCitation":"(Johnson and Tyack, 2003; Cade et al., 2018)","previouslyFormattedCitation":"(Johnson and Tyack, 2003; Cade &lt;i&gt;et al.&lt;/i&gt;, 2018)"},"properties":{"noteIndex":0},"schema":"https://github.com/citation-style-language/schema/raw/master/csl-citation.json"}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(Johnson and Tyack, 2003; Cade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2018)</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w:t>
      </w:r>
    </w:p>
    <w:p w14:paraId="563AF655" w14:textId="1CC4716F"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Individual blue whale foraging events, or lunges, were identified manually by an expert analyst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{"citationItems":[{"id":"ITEM-1","itemData":{"DOI":"10.1016/j.cub.2016.07.037","ISSN":"09609822","abstract":"Rorqual whales exhibit an extreme lunge filter-feeding strategy characterized by acceleration to high speed and engulfment of a large volume of prey-laden water [1–4]. Although tagging studies have quantified the kinematics of lunge feeding, the timing of engulfment relative to body acceleration has been modeled conflictingly because it could never be directly measured [5–7]. The temporal coordination of these processes has a major impact on the hydrodynamics and energetics of this high-cost feeding strategy [5–9]. If engulfment and body acceleration are temporally distinct, the overall cost of this dynamic feeding event would be minimized. However, greater temporal overlap of these two phases would theoretically result in higher drag and greater energetic costs. To address this discrepancy, we used animal-borne synchronized video and 3D movement sensors to quantify the kinematics of both the skull and body during feeding events. Krill-feeding blue and humpback whales exhibited temporally distinct acceleration and engulfment phases, with humpback whales reaching maximum gape earlier than blue whales. In these whales, engulfment coincided largely with body deceleration; however, humpback whales pursuing more agile fish demonstrated highly variable coordination of skull and body kinematics in the context of complex prey-herding techniques. These data suggest that rorquals modulate the coordination of acceleration and engulfment to optimize foraging efficiency by minimizing locomotor costs and maximizing prey capture. Moreover, this newfound kinematic diversity observed among rorquals indicates that the energetic efficiency of foraging is driven both by the whale's engulfment capacity and the comparative locomotor capabilities of predator and prey.","author":[{"dropping-particle":"","family":"Cade","given":"David E.","non-dropping-particle":"","parse-names":false,"suffix":""},{"dropping-particle":"","family":"Friedlaender","given":"Ari S.","non-dropping-particle":"","parse-names":false,"suffix":""},{"dropping-particle":"","family":"Calambokidis","given":"John","non-dropping-particle":"","parse-names":false,"suffix":""},{"dropping-particle":"","family":"Goldbogen","given":"Jeremy A.","non-dropping-particle":"","parse-names":false,"suffix":""}],"container-title":"Current Biology","id":"ITEM-1","issue":"19","issued":{"date-parts":[["2016"]]},"page":"2617-2624","publisher":"Elsevier Ltd.","title":"Kinematic diversity in rorqual whale feeding mechanisms","type":"article-journal","volume":"26"},"uris":["http://www.mendeley.com/documents/?uuid=385bbe1a-08f2-4424-8352-7709f57f56e2"]}],"mendeley":{"formattedCitation":"(Cade &lt;i&gt;et al.&lt;/i&gt;, 2016)","plainTextFormattedCitation":"(Cade et al., 2016)","previouslyFormattedCitation":"(Cade &lt;i&gt;et al.&lt;/i&gt;, 2016)"},"properties":{"noteIndex":0},"schema":"https://github.com/citation-style-language/schema/raw/master/csl-citation.json"}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(Cade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Our main sample of TDR-10-F tag deployments included an earlier model providing lower resolution data (1 Hz sampling of depth only, n = 10) and a more recent model (n = 11) with 32 Hz sampling of pressure and accelerometry. For high-resolution tag data, lunges were identified using stereotypical kinematic signatures from multiple sensors (e.g. the animal’s depth, pitch, roll and speed)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{"citationItems":[{"id":"ITEM-1","itemData":{"DOI":"10.1016/j.cub.2016.07.037","ISSN":"09609822","abstract":"Rorqual whales exhibit an extreme lunge filter-feeding strategy characterized by acceleration to high speed and engulfment of a large volume of prey-laden water [1–4]. Although tagging studies have quantified the kinematics of lunge feeding, the timing of engulfment relative to body acceleration has been modeled conflictingly because it could never be directly measured [5–7]. The temporal coordination of these processes has a major impact on the hydrodynamics and energetics of this high-cost feeding strategy [5–9]. If engulfment and body acceleration are temporally distinct, the overall cost of this dynamic feeding event would be minimized. However, greater temporal overlap of these two phases would theoretically result in higher drag and greater energetic costs. To address this discrepancy, we used animal-borne synchronized video and 3D movement sensors to quantify the kinematics of both the skull and body during feeding events. Krill-feeding blue and humpback whales exhibited temporally distinct acceleration and engulfment phases, with humpback whales reaching maximum gape earlier than blue whales. In these whales, engulfment coincided largely with body deceleration; however, humpback whales pursuing more agile fish demonstrated highly variable coordination of skull and body kinematics in the context of complex prey-herding techniques. These data suggest that rorquals modulate the coordination of acceleration and engulfment to optimize foraging efficiency by minimizing locomotor costs and maximizing prey capture. Moreover, this newfound kinematic diversity observed among rorquals indicates that the energetic efficiency of foraging is driven both by the whale's engulfment capacity and the comparative locomotor capabilities of predator and prey.","author":[{"dropping-particle":"","family":"Cade","given":"David E.","non-dropping-particle":"","parse-names":false,"suffix":""},{"dropping-particle":"","family":"Friedlaender","given":"Ari S.","non-dropping-particle":"","parse-names":false,"suffix":""},{"dropping-particle":"","family":"Calambokidis","given":"John","non-dropping-particle":"","parse-names":false,"suffix":""},{"dropping-particle":"","family":"Goldbogen","given":"Jeremy A.","non-dropping-particle":"","parse-names":false,"suffix":""}],"container-title":"Current Biology","id":"ITEM-1","issue":"19","issued":{"date-parts":[["2016"]]},"page":"2617-2624","publisher":"Elsevier Ltd.","title":"Kinematic diversity in rorqual whale feeding mechanisms","type":"article-journal","volume":"26"},"uris":["http://www.mendeley.com/documents/?uuid=385bbe1a-08f2-4424-8352-7709f57f56e2"]}],"mendeley":{"formattedCitation":"(Cade &lt;i&gt;et al.&lt;/i&gt;, 2016)","plainTextFormattedCitation":"(Cade et al., 2016)","previouslyFormattedCitation":"(Cade &lt;i&gt;et al.&lt;/i&gt;, 2016)"},"properties":{"noteIndex":0},"schema":"https://github.com/citation-style-language/schema/raw/master/csl-citation.json"}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(Cade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For low-resolution tag data without accelerometry, lunges were identified using a combination of dive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 such as the occurrence of vertical excursions, as well as the stereotypy of those </w:t>
      </w:r>
      <w:r w:rsidR="00DA225E">
        <w:rPr>
          <w:rFonts w:ascii="Times New Roman" w:hAnsi="Times New Roman" w:cs="Times New Roman"/>
          <w:sz w:val="24"/>
          <w:szCs w:val="24"/>
        </w:rPr>
        <w:t>behavior</w:t>
      </w:r>
      <w:r w:rsidRPr="00DA225E">
        <w:rPr>
          <w:rFonts w:ascii="Times New Roman" w:hAnsi="Times New Roman" w:cs="Times New Roman"/>
          <w:sz w:val="24"/>
          <w:szCs w:val="24"/>
        </w:rPr>
        <w:t>s in space and time (</w:t>
      </w:r>
      <w:proofErr w:type="gramStart"/>
      <w:r w:rsidRPr="00DA225E">
        <w:rPr>
          <w:rFonts w:ascii="Times New Roman" w:hAnsi="Times New Roman" w:cs="Times New Roman"/>
          <w:sz w:val="24"/>
          <w:szCs w:val="24"/>
        </w:rPr>
        <w:t>i.e.</w:t>
      </w:r>
      <w:proofErr w:type="gramEnd"/>
      <w:r w:rsidRPr="00DA225E">
        <w:rPr>
          <w:rFonts w:ascii="Times New Roman" w:hAnsi="Times New Roman" w:cs="Times New Roman"/>
          <w:sz w:val="24"/>
          <w:szCs w:val="24"/>
        </w:rPr>
        <w:t xml:space="preserve"> repeated vertical excursions at similar depths). For these deployments, lunges were identified at the peak in vertical velocity for each excursion.</w:t>
      </w:r>
    </w:p>
    <w:p w14:paraId="51555C70" w14:textId="6D3F45A2" w:rsidR="00B61968" w:rsidRPr="00DA225E" w:rsidRDefault="00861533" w:rsidP="00861B3E">
      <w:pPr>
        <w:spacing w:line="480" w:lineRule="auto"/>
        <w:rPr>
          <w:rFonts w:ascii="Times New Roman" w:hAnsi="Times New Roman" w:cs="Times New Roman"/>
          <w:sz w:val="24"/>
          <w:szCs w:val="24"/>
        </w:rPr>
      </w:pPr>
      <w:r w:rsidRPr="00DA225E">
        <w:rPr>
          <w:rFonts w:ascii="Times New Roman" w:hAnsi="Times New Roman" w:cs="Times New Roman"/>
          <w:sz w:val="24"/>
          <w:szCs w:val="24"/>
        </w:rPr>
        <w:t>Because of the more limited data from the original 10 deployments of the TDR-10-F tag, we tested how the reduced resolution impacted some of the metrics used in this study by conducting a comparison of the results from the higher resolution tags to the same set of data down-sampled. Specifically, we down-sampled a subset of high-resolution deployments (n = 5</w:t>
      </w:r>
      <w:r w:rsidR="00806ECB" w:rsidRPr="00DA225E">
        <w:rPr>
          <w:rFonts w:ascii="Times New Roman" w:hAnsi="Times New Roman" w:cs="Times New Roman"/>
          <w:sz w:val="24"/>
          <w:szCs w:val="24"/>
        </w:rPr>
        <w:t>; Table S2</w:t>
      </w:r>
      <w:r w:rsidRPr="00DA225E">
        <w:rPr>
          <w:rFonts w:ascii="Times New Roman" w:hAnsi="Times New Roman" w:cs="Times New Roman"/>
          <w:sz w:val="24"/>
          <w:szCs w:val="24"/>
        </w:rPr>
        <w:t>) to match the resolution of the depth-only tags (</w:t>
      </w:r>
      <w:proofErr w:type="gramStart"/>
      <w:r w:rsidRPr="00DA225E">
        <w:rPr>
          <w:rFonts w:ascii="Times New Roman" w:hAnsi="Times New Roman" w:cs="Times New Roman"/>
          <w:sz w:val="24"/>
          <w:szCs w:val="24"/>
        </w:rPr>
        <w:t>e.g.</w:t>
      </w:r>
      <w:proofErr w:type="gramEnd"/>
      <w:r w:rsidRPr="00DA225E">
        <w:rPr>
          <w:rFonts w:ascii="Times New Roman" w:hAnsi="Times New Roman" w:cs="Times New Roman"/>
          <w:sz w:val="24"/>
          <w:szCs w:val="24"/>
        </w:rPr>
        <w:t xml:space="preserve"> 1 Hz depth and vertical velocity) and used the same criteria (i.e. vertical excursions, stereotypy) to identify lunges. </w:t>
      </w:r>
      <w:r w:rsidR="00B61968" w:rsidRPr="00DA225E">
        <w:rPr>
          <w:rFonts w:ascii="Times New Roman" w:hAnsi="Times New Roman" w:cs="Times New Roman"/>
          <w:sz w:val="24"/>
          <w:szCs w:val="24"/>
        </w:rPr>
        <w:br w:type="page"/>
      </w:r>
    </w:p>
    <w:p w14:paraId="257D05DC" w14:textId="518D4BA4" w:rsidR="00861533" w:rsidRPr="00DA225E" w:rsidRDefault="00861533" w:rsidP="00890401">
      <w:pPr>
        <w:spacing w:line="480" w:lineRule="auto"/>
        <w:rPr>
          <w:rFonts w:ascii="Times New Roman" w:hAnsi="Times New Roman" w:cs="Times New Roman"/>
          <w:sz w:val="24"/>
          <w:szCs w:val="24"/>
        </w:rPr>
      </w:pPr>
      <w:r w:rsidRPr="00B228B8">
        <w:rPr>
          <w:rFonts w:ascii="Times New Roman" w:hAnsi="Times New Roman" w:cs="Times New Roman"/>
          <w:sz w:val="24"/>
          <w:szCs w:val="24"/>
        </w:rPr>
        <w:lastRenderedPageBreak/>
        <w:t>Table S</w:t>
      </w:r>
      <w:r w:rsidR="00315E24" w:rsidRPr="00B228B8">
        <w:rPr>
          <w:rFonts w:ascii="Times New Roman" w:hAnsi="Times New Roman" w:cs="Times New Roman"/>
          <w:sz w:val="24"/>
          <w:szCs w:val="24"/>
        </w:rPr>
        <w:t>1</w:t>
      </w:r>
      <w:r w:rsidRPr="00B228B8">
        <w:rPr>
          <w:rFonts w:ascii="Times New Roman" w:hAnsi="Times New Roman" w:cs="Times New Roman"/>
          <w:sz w:val="24"/>
          <w:szCs w:val="24"/>
        </w:rPr>
        <w:t>. List</w:t>
      </w:r>
      <w:r w:rsidRPr="00DA225E">
        <w:rPr>
          <w:rFonts w:ascii="Times New Roman" w:hAnsi="Times New Roman" w:cs="Times New Roman"/>
          <w:sz w:val="24"/>
          <w:szCs w:val="24"/>
        </w:rPr>
        <w:t xml:space="preserve"> of the 27 multi-day tag deployments used in the analysis (see text for details on the three types). Total hours for all tag types is 5,289 h. </w:t>
      </w:r>
    </w:p>
    <w:tbl>
      <w:tblPr>
        <w:tblW w:w="10201" w:type="dxa"/>
        <w:tblBorders>
          <w:top w:val="single" w:sz="4" w:space="0" w:color="auto"/>
          <w:bottom w:val="single" w:sz="4" w:space="0" w:color="auto"/>
          <w:insideH w:val="single" w:sz="4" w:space="0" w:color="auto"/>
        </w:tblBorders>
        <w:tblLook w:val="04A0" w:firstRow="1" w:lastRow="0" w:firstColumn="1" w:lastColumn="0" w:noHBand="0" w:noVBand="1"/>
      </w:tblPr>
      <w:tblGrid>
        <w:gridCol w:w="2122"/>
        <w:gridCol w:w="1647"/>
        <w:gridCol w:w="2180"/>
        <w:gridCol w:w="2693"/>
        <w:gridCol w:w="1559"/>
      </w:tblGrid>
      <w:tr w:rsidR="00861533" w:rsidRPr="00DA225E" w14:paraId="3CC746CB" w14:textId="77777777" w:rsidTr="00B228B8">
        <w:trPr>
          <w:trHeight w:val="859"/>
        </w:trPr>
        <w:tc>
          <w:tcPr>
            <w:tcW w:w="2122" w:type="dxa"/>
            <w:shd w:val="clear" w:color="auto" w:fill="auto"/>
            <w:vAlign w:val="center"/>
            <w:hideMark/>
          </w:tcPr>
          <w:p w14:paraId="48568E88" w14:textId="77777777" w:rsidR="00861533" w:rsidRPr="00DA225E" w:rsidRDefault="00861533" w:rsidP="00B61968">
            <w:pPr>
              <w:spacing w:after="0" w:line="240" w:lineRule="auto"/>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Deployment ID</w:t>
            </w:r>
          </w:p>
        </w:tc>
        <w:tc>
          <w:tcPr>
            <w:tcW w:w="1647" w:type="dxa"/>
            <w:shd w:val="clear" w:color="auto" w:fill="auto"/>
            <w:vAlign w:val="center"/>
            <w:hideMark/>
          </w:tcPr>
          <w:p w14:paraId="3BA6C76E" w14:textId="77777777" w:rsidR="00861533" w:rsidRPr="00DA225E" w:rsidRDefault="00861533" w:rsidP="00B61968">
            <w:pPr>
              <w:spacing w:after="0" w:line="240" w:lineRule="auto"/>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Deployment region</w:t>
            </w:r>
          </w:p>
        </w:tc>
        <w:tc>
          <w:tcPr>
            <w:tcW w:w="2180" w:type="dxa"/>
            <w:shd w:val="clear" w:color="auto" w:fill="auto"/>
            <w:vAlign w:val="center"/>
            <w:hideMark/>
          </w:tcPr>
          <w:p w14:paraId="083DA081" w14:textId="77777777" w:rsidR="00861533" w:rsidRPr="00DA225E" w:rsidRDefault="00861533" w:rsidP="00B61968">
            <w:pPr>
              <w:spacing w:after="0" w:line="240" w:lineRule="auto"/>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Tag model</w:t>
            </w:r>
          </w:p>
        </w:tc>
        <w:tc>
          <w:tcPr>
            <w:tcW w:w="2693" w:type="dxa"/>
            <w:shd w:val="clear" w:color="auto" w:fill="auto"/>
            <w:vAlign w:val="center"/>
            <w:hideMark/>
          </w:tcPr>
          <w:p w14:paraId="3F432AAA" w14:textId="77777777" w:rsidR="00861533" w:rsidRPr="00DA225E" w:rsidRDefault="00861533" w:rsidP="00B61968">
            <w:pPr>
              <w:spacing w:after="0" w:line="240" w:lineRule="auto"/>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Sensors</w:t>
            </w:r>
          </w:p>
        </w:tc>
        <w:tc>
          <w:tcPr>
            <w:tcW w:w="1559" w:type="dxa"/>
            <w:shd w:val="clear" w:color="auto" w:fill="auto"/>
            <w:vAlign w:val="center"/>
            <w:hideMark/>
          </w:tcPr>
          <w:p w14:paraId="0EC87F46" w14:textId="77777777" w:rsidR="00861533" w:rsidRPr="00DA225E" w:rsidRDefault="00861533" w:rsidP="00B61968">
            <w:pPr>
              <w:spacing w:after="0" w:line="240"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Duration (h)</w:t>
            </w:r>
          </w:p>
        </w:tc>
      </w:tr>
      <w:tr w:rsidR="00861533" w:rsidRPr="00DA225E" w14:paraId="5215C8C3" w14:textId="77777777" w:rsidTr="00B228B8">
        <w:trPr>
          <w:trHeight w:val="290"/>
        </w:trPr>
        <w:tc>
          <w:tcPr>
            <w:tcW w:w="2122" w:type="dxa"/>
            <w:shd w:val="clear" w:color="auto" w:fill="auto"/>
            <w:noWrap/>
            <w:vAlign w:val="center"/>
            <w:hideMark/>
          </w:tcPr>
          <w:p w14:paraId="43F3B39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Bm140719-TDR5</w:t>
            </w:r>
          </w:p>
        </w:tc>
        <w:tc>
          <w:tcPr>
            <w:tcW w:w="1647" w:type="dxa"/>
            <w:shd w:val="clear" w:color="auto" w:fill="auto"/>
            <w:noWrap/>
            <w:vAlign w:val="center"/>
            <w:hideMark/>
          </w:tcPr>
          <w:p w14:paraId="773D5329"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06AC4BA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1ADEED9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754E260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75.36</w:t>
            </w:r>
          </w:p>
        </w:tc>
      </w:tr>
      <w:tr w:rsidR="00861533" w:rsidRPr="00DA225E" w14:paraId="1E241CA1" w14:textId="77777777" w:rsidTr="00B228B8">
        <w:trPr>
          <w:trHeight w:val="290"/>
        </w:trPr>
        <w:tc>
          <w:tcPr>
            <w:tcW w:w="2122" w:type="dxa"/>
            <w:shd w:val="clear" w:color="auto" w:fill="auto"/>
            <w:noWrap/>
            <w:vAlign w:val="center"/>
            <w:hideMark/>
          </w:tcPr>
          <w:p w14:paraId="28C3C22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Bm140825-TDR5</w:t>
            </w:r>
          </w:p>
        </w:tc>
        <w:tc>
          <w:tcPr>
            <w:tcW w:w="1647" w:type="dxa"/>
            <w:shd w:val="clear" w:color="auto" w:fill="auto"/>
            <w:noWrap/>
            <w:vAlign w:val="center"/>
            <w:hideMark/>
          </w:tcPr>
          <w:p w14:paraId="78FCE9F2"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19A7F28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5B112559"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3BD2B98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115.2</w:t>
            </w:r>
          </w:p>
        </w:tc>
      </w:tr>
      <w:tr w:rsidR="00861533" w:rsidRPr="00DA225E" w14:paraId="2EDD61E5" w14:textId="77777777" w:rsidTr="00B228B8">
        <w:trPr>
          <w:trHeight w:val="290"/>
        </w:trPr>
        <w:tc>
          <w:tcPr>
            <w:tcW w:w="2122" w:type="dxa"/>
            <w:shd w:val="clear" w:color="auto" w:fill="auto"/>
            <w:noWrap/>
            <w:vAlign w:val="center"/>
            <w:hideMark/>
          </w:tcPr>
          <w:p w14:paraId="6A6B02E2"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Bm140825-TDR6</w:t>
            </w:r>
          </w:p>
        </w:tc>
        <w:tc>
          <w:tcPr>
            <w:tcW w:w="1647" w:type="dxa"/>
            <w:shd w:val="clear" w:color="auto" w:fill="auto"/>
            <w:noWrap/>
            <w:vAlign w:val="center"/>
            <w:hideMark/>
          </w:tcPr>
          <w:p w14:paraId="265A935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7BD4028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0F726B5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338C77D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308.4</w:t>
            </w:r>
          </w:p>
        </w:tc>
      </w:tr>
      <w:tr w:rsidR="00861533" w:rsidRPr="00DA225E" w14:paraId="76808758" w14:textId="77777777" w:rsidTr="00B228B8">
        <w:trPr>
          <w:trHeight w:val="290"/>
        </w:trPr>
        <w:tc>
          <w:tcPr>
            <w:tcW w:w="2122" w:type="dxa"/>
            <w:shd w:val="clear" w:color="auto" w:fill="auto"/>
            <w:noWrap/>
            <w:vAlign w:val="center"/>
            <w:hideMark/>
          </w:tcPr>
          <w:p w14:paraId="7E01674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Bm140827-TDR4</w:t>
            </w:r>
          </w:p>
        </w:tc>
        <w:tc>
          <w:tcPr>
            <w:tcW w:w="1647" w:type="dxa"/>
            <w:shd w:val="clear" w:color="auto" w:fill="auto"/>
            <w:noWrap/>
            <w:vAlign w:val="center"/>
            <w:hideMark/>
          </w:tcPr>
          <w:p w14:paraId="16E40DE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45F5004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631761B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130D0B8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393.12</w:t>
            </w:r>
          </w:p>
        </w:tc>
      </w:tr>
      <w:tr w:rsidR="00861533" w:rsidRPr="00DA225E" w14:paraId="01FCF27D" w14:textId="77777777" w:rsidTr="00B228B8">
        <w:trPr>
          <w:trHeight w:val="290"/>
        </w:trPr>
        <w:tc>
          <w:tcPr>
            <w:tcW w:w="2122" w:type="dxa"/>
            <w:shd w:val="clear" w:color="auto" w:fill="auto"/>
            <w:noWrap/>
            <w:vAlign w:val="center"/>
            <w:hideMark/>
          </w:tcPr>
          <w:p w14:paraId="3BD52F7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Bm150818-TDR8</w:t>
            </w:r>
          </w:p>
        </w:tc>
        <w:tc>
          <w:tcPr>
            <w:tcW w:w="1647" w:type="dxa"/>
            <w:shd w:val="clear" w:color="auto" w:fill="auto"/>
            <w:noWrap/>
            <w:vAlign w:val="center"/>
            <w:hideMark/>
          </w:tcPr>
          <w:p w14:paraId="7C8B6CE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0BDDD75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589B4DD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5907240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259.2</w:t>
            </w:r>
          </w:p>
        </w:tc>
      </w:tr>
      <w:tr w:rsidR="00861533" w:rsidRPr="00DA225E" w14:paraId="754913F4" w14:textId="77777777" w:rsidTr="00B228B8">
        <w:trPr>
          <w:trHeight w:val="290"/>
        </w:trPr>
        <w:tc>
          <w:tcPr>
            <w:tcW w:w="2122" w:type="dxa"/>
            <w:shd w:val="clear" w:color="auto" w:fill="auto"/>
            <w:noWrap/>
            <w:vAlign w:val="center"/>
            <w:hideMark/>
          </w:tcPr>
          <w:p w14:paraId="5FEF5AC2"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Bm150819-TDR5*</w:t>
            </w:r>
          </w:p>
        </w:tc>
        <w:tc>
          <w:tcPr>
            <w:tcW w:w="1647" w:type="dxa"/>
            <w:shd w:val="clear" w:color="auto" w:fill="auto"/>
            <w:noWrap/>
            <w:vAlign w:val="center"/>
            <w:hideMark/>
          </w:tcPr>
          <w:p w14:paraId="7C79AAE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629E5C5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704A9D79"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7988198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51.6</w:t>
            </w:r>
          </w:p>
        </w:tc>
      </w:tr>
      <w:tr w:rsidR="00861533" w:rsidRPr="00DA225E" w14:paraId="6490BC1D" w14:textId="77777777" w:rsidTr="00B228B8">
        <w:trPr>
          <w:trHeight w:val="290"/>
        </w:trPr>
        <w:tc>
          <w:tcPr>
            <w:tcW w:w="2122" w:type="dxa"/>
            <w:shd w:val="clear" w:color="auto" w:fill="auto"/>
            <w:noWrap/>
            <w:vAlign w:val="center"/>
            <w:hideMark/>
          </w:tcPr>
          <w:p w14:paraId="0F8F80D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Bm151016-TDR5</w:t>
            </w:r>
          </w:p>
        </w:tc>
        <w:tc>
          <w:tcPr>
            <w:tcW w:w="1647" w:type="dxa"/>
            <w:shd w:val="clear" w:color="auto" w:fill="auto"/>
            <w:noWrap/>
            <w:vAlign w:val="center"/>
            <w:hideMark/>
          </w:tcPr>
          <w:p w14:paraId="0F4E5BB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4C20A03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1AAF550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535E528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38.16</w:t>
            </w:r>
          </w:p>
        </w:tc>
      </w:tr>
      <w:tr w:rsidR="00861533" w:rsidRPr="00DA225E" w14:paraId="00DE24CD" w14:textId="77777777" w:rsidTr="00B228B8">
        <w:trPr>
          <w:trHeight w:val="290"/>
        </w:trPr>
        <w:tc>
          <w:tcPr>
            <w:tcW w:w="2122" w:type="dxa"/>
            <w:shd w:val="clear" w:color="auto" w:fill="auto"/>
            <w:noWrap/>
            <w:vAlign w:val="center"/>
            <w:hideMark/>
          </w:tcPr>
          <w:p w14:paraId="1F8D91C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Bm151016-TDR7</w:t>
            </w:r>
          </w:p>
        </w:tc>
        <w:tc>
          <w:tcPr>
            <w:tcW w:w="1647" w:type="dxa"/>
            <w:shd w:val="clear" w:color="auto" w:fill="auto"/>
            <w:noWrap/>
            <w:vAlign w:val="center"/>
            <w:hideMark/>
          </w:tcPr>
          <w:p w14:paraId="151E790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4D16C7E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7E00D7F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016AFFA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392.4</w:t>
            </w:r>
          </w:p>
        </w:tc>
      </w:tr>
      <w:tr w:rsidR="00861533" w:rsidRPr="00DA225E" w14:paraId="75564396" w14:textId="77777777" w:rsidTr="00B228B8">
        <w:trPr>
          <w:trHeight w:val="290"/>
        </w:trPr>
        <w:tc>
          <w:tcPr>
            <w:tcW w:w="2122" w:type="dxa"/>
            <w:shd w:val="clear" w:color="auto" w:fill="auto"/>
            <w:noWrap/>
            <w:vAlign w:val="center"/>
            <w:hideMark/>
          </w:tcPr>
          <w:p w14:paraId="6536875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Bm160523-A20</w:t>
            </w:r>
          </w:p>
        </w:tc>
        <w:tc>
          <w:tcPr>
            <w:tcW w:w="1647" w:type="dxa"/>
            <w:shd w:val="clear" w:color="auto" w:fill="auto"/>
            <w:noWrap/>
            <w:vAlign w:val="center"/>
            <w:hideMark/>
          </w:tcPr>
          <w:p w14:paraId="77F3FDA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6656820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1FC70D5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3258022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97.68</w:t>
            </w:r>
          </w:p>
        </w:tc>
      </w:tr>
      <w:tr w:rsidR="00861533" w:rsidRPr="00DA225E" w14:paraId="6EC08025" w14:textId="77777777" w:rsidTr="00B228B8">
        <w:trPr>
          <w:trHeight w:val="290"/>
        </w:trPr>
        <w:tc>
          <w:tcPr>
            <w:tcW w:w="2122" w:type="dxa"/>
            <w:shd w:val="clear" w:color="auto" w:fill="auto"/>
            <w:noWrap/>
            <w:vAlign w:val="center"/>
            <w:hideMark/>
          </w:tcPr>
          <w:p w14:paraId="096BDA0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Bm160523-TDR6</w:t>
            </w:r>
          </w:p>
        </w:tc>
        <w:tc>
          <w:tcPr>
            <w:tcW w:w="1647" w:type="dxa"/>
            <w:shd w:val="clear" w:color="auto" w:fill="auto"/>
            <w:noWrap/>
            <w:vAlign w:val="center"/>
            <w:hideMark/>
          </w:tcPr>
          <w:p w14:paraId="09977D22"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13A8453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3974FE5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584F2162"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186.72</w:t>
            </w:r>
          </w:p>
        </w:tc>
      </w:tr>
      <w:tr w:rsidR="00861533" w:rsidRPr="00DA225E" w14:paraId="79067AE9" w14:textId="77777777" w:rsidTr="00B228B8">
        <w:trPr>
          <w:trHeight w:val="290"/>
        </w:trPr>
        <w:tc>
          <w:tcPr>
            <w:tcW w:w="2122" w:type="dxa"/>
            <w:shd w:val="clear" w:color="auto" w:fill="auto"/>
            <w:noWrap/>
            <w:vAlign w:val="center"/>
            <w:hideMark/>
          </w:tcPr>
          <w:p w14:paraId="6A00F99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Bm160716-A20</w:t>
            </w:r>
          </w:p>
        </w:tc>
        <w:tc>
          <w:tcPr>
            <w:tcW w:w="1647" w:type="dxa"/>
            <w:shd w:val="clear" w:color="auto" w:fill="auto"/>
            <w:noWrap/>
            <w:vAlign w:val="center"/>
            <w:hideMark/>
          </w:tcPr>
          <w:p w14:paraId="4273C9E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6F16928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4FFFB0B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1F2C13F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92.64</w:t>
            </w:r>
          </w:p>
        </w:tc>
      </w:tr>
      <w:tr w:rsidR="00861533" w:rsidRPr="00DA225E" w14:paraId="3B8CADD3" w14:textId="77777777" w:rsidTr="00B228B8">
        <w:trPr>
          <w:trHeight w:val="290"/>
        </w:trPr>
        <w:tc>
          <w:tcPr>
            <w:tcW w:w="2122" w:type="dxa"/>
            <w:shd w:val="clear" w:color="auto" w:fill="auto"/>
            <w:noWrap/>
            <w:vAlign w:val="center"/>
            <w:hideMark/>
          </w:tcPr>
          <w:p w14:paraId="08A645D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Bm160717-A21</w:t>
            </w:r>
          </w:p>
        </w:tc>
        <w:tc>
          <w:tcPr>
            <w:tcW w:w="1647" w:type="dxa"/>
            <w:shd w:val="clear" w:color="auto" w:fill="auto"/>
            <w:noWrap/>
            <w:vAlign w:val="center"/>
            <w:hideMark/>
          </w:tcPr>
          <w:p w14:paraId="6DD2130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2F320B0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2DDCF63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10DE4F1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102.48</w:t>
            </w:r>
          </w:p>
        </w:tc>
      </w:tr>
      <w:tr w:rsidR="00861533" w:rsidRPr="00DA225E" w14:paraId="56E36C63" w14:textId="77777777" w:rsidTr="00B228B8">
        <w:trPr>
          <w:trHeight w:val="290"/>
        </w:trPr>
        <w:tc>
          <w:tcPr>
            <w:tcW w:w="2122" w:type="dxa"/>
            <w:shd w:val="clear" w:color="auto" w:fill="auto"/>
            <w:noWrap/>
            <w:vAlign w:val="center"/>
            <w:hideMark/>
          </w:tcPr>
          <w:p w14:paraId="1EF53F49"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Bm160817-A21*</w:t>
            </w:r>
          </w:p>
        </w:tc>
        <w:tc>
          <w:tcPr>
            <w:tcW w:w="1647" w:type="dxa"/>
            <w:shd w:val="clear" w:color="auto" w:fill="auto"/>
            <w:noWrap/>
            <w:vAlign w:val="center"/>
            <w:hideMark/>
          </w:tcPr>
          <w:p w14:paraId="41899FD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57C70B5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0A0C21C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0E7919E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45.84</w:t>
            </w:r>
          </w:p>
        </w:tc>
      </w:tr>
      <w:tr w:rsidR="00861533" w:rsidRPr="00DA225E" w14:paraId="137B74AC" w14:textId="77777777" w:rsidTr="00B228B8">
        <w:trPr>
          <w:trHeight w:val="290"/>
        </w:trPr>
        <w:tc>
          <w:tcPr>
            <w:tcW w:w="2122" w:type="dxa"/>
            <w:shd w:val="clear" w:color="auto" w:fill="auto"/>
            <w:noWrap/>
            <w:vAlign w:val="center"/>
            <w:hideMark/>
          </w:tcPr>
          <w:p w14:paraId="6DC1F80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lastRenderedPageBreak/>
              <w:t>Bm160918-A08*</w:t>
            </w:r>
          </w:p>
        </w:tc>
        <w:tc>
          <w:tcPr>
            <w:tcW w:w="1647" w:type="dxa"/>
            <w:shd w:val="clear" w:color="auto" w:fill="auto"/>
            <w:noWrap/>
            <w:vAlign w:val="center"/>
            <w:hideMark/>
          </w:tcPr>
          <w:p w14:paraId="45549A6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59B533D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1793B78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18F53EE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98.88</w:t>
            </w:r>
          </w:p>
        </w:tc>
      </w:tr>
      <w:tr w:rsidR="00861533" w:rsidRPr="00DA225E" w14:paraId="2EE4819F" w14:textId="77777777" w:rsidTr="00B228B8">
        <w:trPr>
          <w:trHeight w:val="290"/>
        </w:trPr>
        <w:tc>
          <w:tcPr>
            <w:tcW w:w="2122" w:type="dxa"/>
            <w:shd w:val="clear" w:color="auto" w:fill="auto"/>
            <w:noWrap/>
            <w:vAlign w:val="center"/>
            <w:hideMark/>
          </w:tcPr>
          <w:p w14:paraId="02379FE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Bm160918-A21*</w:t>
            </w:r>
          </w:p>
        </w:tc>
        <w:tc>
          <w:tcPr>
            <w:tcW w:w="1647" w:type="dxa"/>
            <w:shd w:val="clear" w:color="auto" w:fill="auto"/>
            <w:noWrap/>
            <w:vAlign w:val="center"/>
            <w:hideMark/>
          </w:tcPr>
          <w:p w14:paraId="2AFE74A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7ECEF22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proofErr w:type="spellStart"/>
            <w:r w:rsidRPr="00DA225E">
              <w:rPr>
                <w:rFonts w:ascii="Times New Roman" w:eastAsia="Times New Roman" w:hAnsi="Times New Roman" w:cs="Times New Roman"/>
                <w:color w:val="000000"/>
                <w:sz w:val="24"/>
                <w:szCs w:val="24"/>
              </w:rPr>
              <w:t>Acousonde</w:t>
            </w:r>
            <w:proofErr w:type="spellEnd"/>
            <w:r w:rsidRPr="00DA225E">
              <w:rPr>
                <w:rFonts w:ascii="Times New Roman" w:eastAsia="Times New Roman" w:hAnsi="Times New Roman" w:cs="Times New Roman"/>
                <w:color w:val="000000"/>
                <w:sz w:val="24"/>
                <w:szCs w:val="24"/>
              </w:rPr>
              <w:t xml:space="preserve"> 3B with </w:t>
            </w:r>
            <w:proofErr w:type="spellStart"/>
            <w:r w:rsidRPr="00DA225E">
              <w:rPr>
                <w:rFonts w:ascii="Times New Roman" w:eastAsia="Times New Roman" w:hAnsi="Times New Roman" w:cs="Times New Roman"/>
                <w:color w:val="000000"/>
                <w:sz w:val="24"/>
                <w:szCs w:val="24"/>
              </w:rPr>
              <w:t>Sirtrack</w:t>
            </w:r>
            <w:proofErr w:type="spellEnd"/>
            <w:r w:rsidRPr="00DA225E">
              <w:rPr>
                <w:rFonts w:ascii="Times New Roman" w:eastAsia="Times New Roman" w:hAnsi="Times New Roman" w:cs="Times New Roman"/>
                <w:color w:val="000000"/>
                <w:sz w:val="24"/>
                <w:szCs w:val="24"/>
              </w:rPr>
              <w:t xml:space="preserve"> </w:t>
            </w:r>
            <w:proofErr w:type="spellStart"/>
            <w:r w:rsidRPr="00DA225E">
              <w:rPr>
                <w:rFonts w:ascii="Times New Roman" w:eastAsia="Times New Roman" w:hAnsi="Times New Roman" w:cs="Times New Roman"/>
                <w:color w:val="000000"/>
                <w:sz w:val="24"/>
                <w:szCs w:val="24"/>
              </w:rPr>
              <w:t>FastGPS</w:t>
            </w:r>
            <w:proofErr w:type="spellEnd"/>
          </w:p>
        </w:tc>
        <w:tc>
          <w:tcPr>
            <w:tcW w:w="2693" w:type="dxa"/>
            <w:shd w:val="clear" w:color="auto" w:fill="auto"/>
            <w:noWrap/>
            <w:vAlign w:val="center"/>
            <w:hideMark/>
          </w:tcPr>
          <w:p w14:paraId="642DBDA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(10Hz), GPS, Acc (100Hz), Mag (10Hz)</w:t>
            </w:r>
          </w:p>
        </w:tc>
        <w:tc>
          <w:tcPr>
            <w:tcW w:w="1559" w:type="dxa"/>
            <w:shd w:val="clear" w:color="auto" w:fill="auto"/>
            <w:noWrap/>
            <w:vAlign w:val="center"/>
            <w:hideMark/>
          </w:tcPr>
          <w:p w14:paraId="49D2968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102.48</w:t>
            </w:r>
          </w:p>
        </w:tc>
      </w:tr>
      <w:tr w:rsidR="00861533" w:rsidRPr="00DA225E" w14:paraId="42628D03" w14:textId="77777777" w:rsidTr="00B228B8">
        <w:trPr>
          <w:trHeight w:val="290"/>
        </w:trPr>
        <w:tc>
          <w:tcPr>
            <w:tcW w:w="2122" w:type="dxa"/>
            <w:shd w:val="clear" w:color="auto" w:fill="auto"/>
            <w:noWrap/>
            <w:vAlign w:val="center"/>
            <w:hideMark/>
          </w:tcPr>
          <w:p w14:paraId="0F4D716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Bm160926-TDR7</w:t>
            </w:r>
          </w:p>
        </w:tc>
        <w:tc>
          <w:tcPr>
            <w:tcW w:w="1647" w:type="dxa"/>
            <w:shd w:val="clear" w:color="auto" w:fill="auto"/>
            <w:noWrap/>
            <w:vAlign w:val="center"/>
            <w:hideMark/>
          </w:tcPr>
          <w:p w14:paraId="2905331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4785168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w:t>
            </w:r>
          </w:p>
        </w:tc>
        <w:tc>
          <w:tcPr>
            <w:tcW w:w="2693" w:type="dxa"/>
            <w:shd w:val="clear" w:color="auto" w:fill="auto"/>
            <w:noWrap/>
            <w:vAlign w:val="center"/>
            <w:hideMark/>
          </w:tcPr>
          <w:p w14:paraId="57BDFC7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(1Hz), GPS</w:t>
            </w:r>
          </w:p>
        </w:tc>
        <w:tc>
          <w:tcPr>
            <w:tcW w:w="1559" w:type="dxa"/>
            <w:shd w:val="clear" w:color="auto" w:fill="auto"/>
            <w:noWrap/>
            <w:vAlign w:val="center"/>
            <w:hideMark/>
          </w:tcPr>
          <w:p w14:paraId="2E8BC07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22.56</w:t>
            </w:r>
          </w:p>
        </w:tc>
      </w:tr>
      <w:tr w:rsidR="00861533" w:rsidRPr="00DA225E" w14:paraId="64DB58E5" w14:textId="77777777" w:rsidTr="00B228B8">
        <w:trPr>
          <w:trHeight w:val="290"/>
        </w:trPr>
        <w:tc>
          <w:tcPr>
            <w:tcW w:w="2122" w:type="dxa"/>
            <w:shd w:val="clear" w:color="auto" w:fill="auto"/>
            <w:noWrap/>
            <w:vAlign w:val="center"/>
            <w:hideMark/>
          </w:tcPr>
          <w:p w14:paraId="59C87D6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Bm170622-TDR12</w:t>
            </w:r>
          </w:p>
        </w:tc>
        <w:tc>
          <w:tcPr>
            <w:tcW w:w="1647" w:type="dxa"/>
            <w:shd w:val="clear" w:color="auto" w:fill="auto"/>
            <w:noWrap/>
            <w:vAlign w:val="center"/>
            <w:hideMark/>
          </w:tcPr>
          <w:p w14:paraId="7B7F1BD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565D433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52E8123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2C0F5FC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425.28</w:t>
            </w:r>
          </w:p>
        </w:tc>
      </w:tr>
      <w:tr w:rsidR="00861533" w:rsidRPr="00DA225E" w14:paraId="04362862" w14:textId="77777777" w:rsidTr="00B228B8">
        <w:trPr>
          <w:trHeight w:val="290"/>
        </w:trPr>
        <w:tc>
          <w:tcPr>
            <w:tcW w:w="2122" w:type="dxa"/>
            <w:shd w:val="clear" w:color="auto" w:fill="auto"/>
            <w:noWrap/>
            <w:vAlign w:val="center"/>
            <w:hideMark/>
          </w:tcPr>
          <w:p w14:paraId="4DEE3B1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Bm170622-TDR13</w:t>
            </w:r>
          </w:p>
        </w:tc>
        <w:tc>
          <w:tcPr>
            <w:tcW w:w="1647" w:type="dxa"/>
            <w:shd w:val="clear" w:color="auto" w:fill="auto"/>
            <w:noWrap/>
            <w:vAlign w:val="center"/>
            <w:hideMark/>
          </w:tcPr>
          <w:p w14:paraId="475D721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66EDBD0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497ABBD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04852DA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117.84</w:t>
            </w:r>
          </w:p>
        </w:tc>
      </w:tr>
      <w:tr w:rsidR="00861533" w:rsidRPr="00DA225E" w14:paraId="0AB2325B" w14:textId="77777777" w:rsidTr="00B228B8">
        <w:trPr>
          <w:trHeight w:val="290"/>
        </w:trPr>
        <w:tc>
          <w:tcPr>
            <w:tcW w:w="2122" w:type="dxa"/>
            <w:shd w:val="clear" w:color="auto" w:fill="auto"/>
            <w:noWrap/>
            <w:vAlign w:val="center"/>
            <w:hideMark/>
          </w:tcPr>
          <w:p w14:paraId="2CB7E59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Bm170706-TDR11</w:t>
            </w:r>
          </w:p>
        </w:tc>
        <w:tc>
          <w:tcPr>
            <w:tcW w:w="1647" w:type="dxa"/>
            <w:shd w:val="clear" w:color="auto" w:fill="auto"/>
            <w:noWrap/>
            <w:vAlign w:val="center"/>
            <w:hideMark/>
          </w:tcPr>
          <w:p w14:paraId="25F0596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10A1B190"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2625943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0AB2DC1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66.72</w:t>
            </w:r>
          </w:p>
        </w:tc>
      </w:tr>
      <w:tr w:rsidR="00861533" w:rsidRPr="00DA225E" w14:paraId="11DCA907" w14:textId="77777777" w:rsidTr="00B228B8">
        <w:trPr>
          <w:trHeight w:val="290"/>
        </w:trPr>
        <w:tc>
          <w:tcPr>
            <w:tcW w:w="2122" w:type="dxa"/>
            <w:shd w:val="clear" w:color="auto" w:fill="auto"/>
            <w:noWrap/>
            <w:vAlign w:val="center"/>
            <w:hideMark/>
          </w:tcPr>
          <w:p w14:paraId="714271E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Bm170925-TDR12</w:t>
            </w:r>
          </w:p>
        </w:tc>
        <w:tc>
          <w:tcPr>
            <w:tcW w:w="1647" w:type="dxa"/>
            <w:shd w:val="clear" w:color="auto" w:fill="auto"/>
            <w:noWrap/>
            <w:vAlign w:val="center"/>
            <w:hideMark/>
          </w:tcPr>
          <w:p w14:paraId="1D1952A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6F84F4D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5AB18E9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68B8BAA1"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97.92</w:t>
            </w:r>
          </w:p>
        </w:tc>
      </w:tr>
      <w:tr w:rsidR="00861533" w:rsidRPr="00DA225E" w14:paraId="19C985DD" w14:textId="77777777" w:rsidTr="00B228B8">
        <w:trPr>
          <w:trHeight w:val="290"/>
        </w:trPr>
        <w:tc>
          <w:tcPr>
            <w:tcW w:w="2122" w:type="dxa"/>
            <w:shd w:val="clear" w:color="auto" w:fill="auto"/>
            <w:noWrap/>
            <w:vAlign w:val="center"/>
            <w:hideMark/>
          </w:tcPr>
          <w:p w14:paraId="594D32A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Bm170926-TDR14</w:t>
            </w:r>
          </w:p>
        </w:tc>
        <w:tc>
          <w:tcPr>
            <w:tcW w:w="1647" w:type="dxa"/>
            <w:shd w:val="clear" w:color="auto" w:fill="auto"/>
            <w:noWrap/>
            <w:vAlign w:val="center"/>
            <w:hideMark/>
          </w:tcPr>
          <w:p w14:paraId="019D2AF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Southern California Bight</w:t>
            </w:r>
          </w:p>
        </w:tc>
        <w:tc>
          <w:tcPr>
            <w:tcW w:w="2180" w:type="dxa"/>
            <w:shd w:val="clear" w:color="auto" w:fill="auto"/>
            <w:noWrap/>
            <w:vAlign w:val="center"/>
            <w:hideMark/>
          </w:tcPr>
          <w:p w14:paraId="058596E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70FAE19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63ADB36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103.44</w:t>
            </w:r>
          </w:p>
        </w:tc>
      </w:tr>
      <w:tr w:rsidR="00861533" w:rsidRPr="00DA225E" w14:paraId="56CFFCE8" w14:textId="77777777" w:rsidTr="00B228B8">
        <w:trPr>
          <w:trHeight w:val="290"/>
        </w:trPr>
        <w:tc>
          <w:tcPr>
            <w:tcW w:w="2122" w:type="dxa"/>
            <w:shd w:val="clear" w:color="auto" w:fill="auto"/>
            <w:noWrap/>
            <w:vAlign w:val="center"/>
            <w:hideMark/>
          </w:tcPr>
          <w:p w14:paraId="63212F4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Bm181021-TDR11</w:t>
            </w:r>
          </w:p>
        </w:tc>
        <w:tc>
          <w:tcPr>
            <w:tcW w:w="1647" w:type="dxa"/>
            <w:shd w:val="clear" w:color="auto" w:fill="auto"/>
            <w:noWrap/>
            <w:vAlign w:val="center"/>
            <w:hideMark/>
          </w:tcPr>
          <w:p w14:paraId="0B1F6EE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4FEEE2B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1A7C934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382AA38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768.48</w:t>
            </w:r>
          </w:p>
        </w:tc>
      </w:tr>
      <w:tr w:rsidR="00861533" w:rsidRPr="00DA225E" w14:paraId="28CCEE85" w14:textId="77777777" w:rsidTr="00B228B8">
        <w:trPr>
          <w:trHeight w:val="290"/>
        </w:trPr>
        <w:tc>
          <w:tcPr>
            <w:tcW w:w="2122" w:type="dxa"/>
            <w:shd w:val="clear" w:color="auto" w:fill="auto"/>
            <w:noWrap/>
            <w:vAlign w:val="center"/>
            <w:hideMark/>
          </w:tcPr>
          <w:p w14:paraId="04263716"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Bm181021-TDR14</w:t>
            </w:r>
          </w:p>
        </w:tc>
        <w:tc>
          <w:tcPr>
            <w:tcW w:w="1647" w:type="dxa"/>
            <w:shd w:val="clear" w:color="auto" w:fill="auto"/>
            <w:noWrap/>
            <w:vAlign w:val="center"/>
            <w:hideMark/>
          </w:tcPr>
          <w:p w14:paraId="491C028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529B114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21F37949"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1480B5D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299.04</w:t>
            </w:r>
          </w:p>
        </w:tc>
      </w:tr>
      <w:tr w:rsidR="00861533" w:rsidRPr="00DA225E" w14:paraId="70C67AB7" w14:textId="77777777" w:rsidTr="00B228B8">
        <w:trPr>
          <w:trHeight w:val="290"/>
        </w:trPr>
        <w:tc>
          <w:tcPr>
            <w:tcW w:w="2122" w:type="dxa"/>
            <w:shd w:val="clear" w:color="auto" w:fill="auto"/>
            <w:noWrap/>
            <w:vAlign w:val="center"/>
            <w:hideMark/>
          </w:tcPr>
          <w:p w14:paraId="58E72FF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Bm190709-TDR14</w:t>
            </w:r>
          </w:p>
        </w:tc>
        <w:tc>
          <w:tcPr>
            <w:tcW w:w="1647" w:type="dxa"/>
            <w:shd w:val="clear" w:color="auto" w:fill="auto"/>
            <w:noWrap/>
            <w:vAlign w:val="center"/>
            <w:hideMark/>
          </w:tcPr>
          <w:p w14:paraId="38290EA5"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1A23B4F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66E17C0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7361249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191.76</w:t>
            </w:r>
          </w:p>
        </w:tc>
      </w:tr>
      <w:tr w:rsidR="00861533" w:rsidRPr="00DA225E" w14:paraId="75E41871" w14:textId="77777777" w:rsidTr="00B228B8">
        <w:trPr>
          <w:trHeight w:val="290"/>
        </w:trPr>
        <w:tc>
          <w:tcPr>
            <w:tcW w:w="2122" w:type="dxa"/>
            <w:shd w:val="clear" w:color="auto" w:fill="auto"/>
            <w:noWrap/>
            <w:vAlign w:val="center"/>
            <w:hideMark/>
          </w:tcPr>
          <w:p w14:paraId="095EBD0A"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Bm190710-TDR15</w:t>
            </w:r>
          </w:p>
        </w:tc>
        <w:tc>
          <w:tcPr>
            <w:tcW w:w="1647" w:type="dxa"/>
            <w:shd w:val="clear" w:color="auto" w:fill="auto"/>
            <w:noWrap/>
            <w:vAlign w:val="center"/>
            <w:hideMark/>
          </w:tcPr>
          <w:p w14:paraId="1286D42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59863D8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0DF4327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6C4032A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325.2</w:t>
            </w:r>
          </w:p>
        </w:tc>
      </w:tr>
      <w:tr w:rsidR="00861533" w:rsidRPr="00DA225E" w14:paraId="414665F2" w14:textId="77777777" w:rsidTr="00B228B8">
        <w:trPr>
          <w:trHeight w:val="290"/>
        </w:trPr>
        <w:tc>
          <w:tcPr>
            <w:tcW w:w="2122" w:type="dxa"/>
            <w:shd w:val="clear" w:color="auto" w:fill="auto"/>
            <w:noWrap/>
            <w:vAlign w:val="center"/>
            <w:hideMark/>
          </w:tcPr>
          <w:p w14:paraId="4A8A96EB"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Bm190916-TDR14</w:t>
            </w:r>
          </w:p>
        </w:tc>
        <w:tc>
          <w:tcPr>
            <w:tcW w:w="1647" w:type="dxa"/>
            <w:shd w:val="clear" w:color="auto" w:fill="auto"/>
            <w:noWrap/>
            <w:vAlign w:val="center"/>
            <w:hideMark/>
          </w:tcPr>
          <w:p w14:paraId="41CC968E"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60B88F9D"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236A658F"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43C6EB87"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440.16</w:t>
            </w:r>
          </w:p>
        </w:tc>
      </w:tr>
      <w:tr w:rsidR="00861533" w:rsidRPr="00DA225E" w14:paraId="29325C97" w14:textId="77777777" w:rsidTr="00B228B8">
        <w:trPr>
          <w:trHeight w:val="290"/>
        </w:trPr>
        <w:tc>
          <w:tcPr>
            <w:tcW w:w="2122" w:type="dxa"/>
            <w:shd w:val="clear" w:color="auto" w:fill="auto"/>
            <w:noWrap/>
            <w:vAlign w:val="center"/>
            <w:hideMark/>
          </w:tcPr>
          <w:p w14:paraId="44C1CED4"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Bm190916-TDR15</w:t>
            </w:r>
          </w:p>
        </w:tc>
        <w:tc>
          <w:tcPr>
            <w:tcW w:w="1647" w:type="dxa"/>
            <w:shd w:val="clear" w:color="auto" w:fill="auto"/>
            <w:noWrap/>
            <w:vAlign w:val="center"/>
            <w:hideMark/>
          </w:tcPr>
          <w:p w14:paraId="5A2873A8"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Central California</w:t>
            </w:r>
          </w:p>
        </w:tc>
        <w:tc>
          <w:tcPr>
            <w:tcW w:w="2180" w:type="dxa"/>
            <w:shd w:val="clear" w:color="auto" w:fill="auto"/>
            <w:noWrap/>
            <w:vAlign w:val="center"/>
            <w:hideMark/>
          </w:tcPr>
          <w:p w14:paraId="5CE9C94C"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TDR10-FX</w:t>
            </w:r>
          </w:p>
        </w:tc>
        <w:tc>
          <w:tcPr>
            <w:tcW w:w="2693" w:type="dxa"/>
            <w:shd w:val="clear" w:color="auto" w:fill="auto"/>
            <w:noWrap/>
            <w:vAlign w:val="center"/>
            <w:hideMark/>
          </w:tcPr>
          <w:p w14:paraId="0FDC5D9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Depth (32Hz), GPS, Acc (32 Hz)</w:t>
            </w:r>
          </w:p>
        </w:tc>
        <w:tc>
          <w:tcPr>
            <w:tcW w:w="1559" w:type="dxa"/>
            <w:shd w:val="clear" w:color="auto" w:fill="auto"/>
            <w:noWrap/>
            <w:vAlign w:val="center"/>
            <w:hideMark/>
          </w:tcPr>
          <w:p w14:paraId="13FE98A3" w14:textId="77777777" w:rsidR="00861533" w:rsidRPr="00DA225E" w:rsidRDefault="00861533" w:rsidP="00B61968">
            <w:pPr>
              <w:spacing w:after="0" w:line="240"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71.04</w:t>
            </w:r>
          </w:p>
        </w:tc>
      </w:tr>
    </w:tbl>
    <w:p w14:paraId="0C16C940" w14:textId="3473C1AE"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*Note: these individuals are known to have been incidentally exposed to Navy sonar.</w:t>
      </w:r>
    </w:p>
    <w:p w14:paraId="583F0E59" w14:textId="77777777" w:rsidR="00B61968" w:rsidRPr="00DA225E" w:rsidRDefault="00B61968" w:rsidP="00B61968">
      <w:pPr>
        <w:rPr>
          <w:rFonts w:ascii="Times New Roman" w:hAnsi="Times New Roman" w:cs="Times New Roman"/>
          <w:sz w:val="24"/>
          <w:szCs w:val="24"/>
        </w:rPr>
        <w:sectPr w:rsidR="00B61968" w:rsidRPr="00DA225E" w:rsidSect="0020348D">
          <w:footerReference w:type="default" r:id="rId8"/>
          <w:pgSz w:w="12240" w:h="15840" w:code="1"/>
          <w:pgMar w:top="1440" w:right="1440" w:bottom="1440" w:left="1440" w:header="720" w:footer="720" w:gutter="0"/>
          <w:lnNumType w:countBy="1" w:restart="continuous"/>
          <w:cols w:space="720"/>
          <w:docGrid w:linePitch="360"/>
        </w:sectPr>
      </w:pPr>
    </w:p>
    <w:p w14:paraId="61335F29" w14:textId="2FAE4E7C" w:rsidR="00861533" w:rsidRPr="00DA225E" w:rsidRDefault="00861533" w:rsidP="00B61968">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Table S</w:t>
      </w:r>
      <w:r w:rsidR="00315E24" w:rsidRPr="00DA225E">
        <w:rPr>
          <w:rFonts w:ascii="Times New Roman" w:hAnsi="Times New Roman" w:cs="Times New Roman"/>
          <w:sz w:val="24"/>
          <w:szCs w:val="24"/>
        </w:rPr>
        <w:t>2</w:t>
      </w:r>
      <w:r w:rsidRPr="00DA225E">
        <w:rPr>
          <w:rFonts w:ascii="Times New Roman" w:hAnsi="Times New Roman" w:cs="Times New Roman"/>
          <w:sz w:val="24"/>
          <w:szCs w:val="24"/>
        </w:rPr>
        <w:t>. Details on the five high-resolution tag deployments from Table S</w:t>
      </w:r>
      <w:r w:rsidR="00315E24" w:rsidRPr="00DA225E">
        <w:rPr>
          <w:rFonts w:ascii="Times New Roman" w:hAnsi="Times New Roman" w:cs="Times New Roman"/>
          <w:sz w:val="24"/>
          <w:szCs w:val="24"/>
        </w:rPr>
        <w:t>1</w:t>
      </w:r>
      <w:r w:rsidRPr="00DA225E">
        <w:rPr>
          <w:rFonts w:ascii="Times New Roman" w:hAnsi="Times New Roman" w:cs="Times New Roman"/>
          <w:sz w:val="24"/>
          <w:szCs w:val="24"/>
        </w:rPr>
        <w:t xml:space="preserve"> that were used for comparison to a down-sampled version, mimicking the 1-Hz depth-only information available from the low-resolution tags. The table shows the false positive rate (hours with lunges after down-sampling, but not with full data) and false negative rate (hours with lunges not identified after down-sampling, but that had lunges with the full data), as well as some of the differences in lunge count and lunge depth. </w:t>
      </w:r>
    </w:p>
    <w:p w14:paraId="42047E30" w14:textId="77777777" w:rsidR="00B61968" w:rsidRPr="00DA225E" w:rsidRDefault="00B61968" w:rsidP="00B61968">
      <w:pPr>
        <w:spacing w:line="480" w:lineRule="auto"/>
        <w:rPr>
          <w:rFonts w:ascii="Times New Roman" w:hAnsi="Times New Roman" w:cs="Times New Roman"/>
          <w:sz w:val="24"/>
          <w:szCs w:val="24"/>
        </w:rPr>
      </w:pPr>
    </w:p>
    <w:tbl>
      <w:tblPr>
        <w:tblW w:w="1197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2"/>
        <w:gridCol w:w="857"/>
        <w:gridCol w:w="1110"/>
        <w:gridCol w:w="1110"/>
        <w:gridCol w:w="1203"/>
        <w:gridCol w:w="1203"/>
        <w:gridCol w:w="974"/>
        <w:gridCol w:w="1243"/>
        <w:gridCol w:w="910"/>
        <w:gridCol w:w="1243"/>
      </w:tblGrid>
      <w:tr w:rsidR="00861533" w:rsidRPr="00DA225E" w14:paraId="6B737697" w14:textId="77777777" w:rsidTr="00B228B8">
        <w:trPr>
          <w:trHeight w:val="1450"/>
        </w:trPr>
        <w:tc>
          <w:tcPr>
            <w:tcW w:w="2122" w:type="dxa"/>
            <w:shd w:val="clear" w:color="auto" w:fill="auto"/>
            <w:vAlign w:val="center"/>
            <w:hideMark/>
          </w:tcPr>
          <w:p w14:paraId="0AD6899B"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Deployment ID</w:t>
            </w:r>
          </w:p>
        </w:tc>
        <w:tc>
          <w:tcPr>
            <w:tcW w:w="857" w:type="dxa"/>
            <w:shd w:val="clear" w:color="auto" w:fill="auto"/>
            <w:vAlign w:val="center"/>
            <w:hideMark/>
          </w:tcPr>
          <w:p w14:paraId="6369AD63"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Total Hours</w:t>
            </w:r>
          </w:p>
        </w:tc>
        <w:tc>
          <w:tcPr>
            <w:tcW w:w="1110" w:type="dxa"/>
            <w:shd w:val="clear" w:color="auto" w:fill="auto"/>
            <w:vAlign w:val="center"/>
            <w:hideMark/>
          </w:tcPr>
          <w:p w14:paraId="682DA400"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False Positives (h)</w:t>
            </w:r>
          </w:p>
        </w:tc>
        <w:tc>
          <w:tcPr>
            <w:tcW w:w="1110" w:type="dxa"/>
            <w:shd w:val="clear" w:color="auto" w:fill="auto"/>
            <w:vAlign w:val="center"/>
            <w:hideMark/>
          </w:tcPr>
          <w:p w14:paraId="39F98990" w14:textId="74B34E3C"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 xml:space="preserve">False Positives     </w:t>
            </w:r>
            <w:proofErr w:type="gramStart"/>
            <w:r w:rsidRPr="00DA225E">
              <w:rPr>
                <w:rFonts w:ascii="Times New Roman" w:eastAsia="Times New Roman" w:hAnsi="Times New Roman" w:cs="Times New Roman"/>
                <w:b/>
                <w:bCs/>
                <w:color w:val="000000"/>
                <w:sz w:val="24"/>
                <w:szCs w:val="24"/>
              </w:rPr>
              <w:t xml:space="preserve">   (</w:t>
            </w:r>
            <w:proofErr w:type="gramEnd"/>
            <w:r w:rsidRPr="00DA225E">
              <w:rPr>
                <w:rFonts w:ascii="Times New Roman" w:eastAsia="Times New Roman" w:hAnsi="Times New Roman" w:cs="Times New Roman"/>
                <w:b/>
                <w:bCs/>
                <w:color w:val="000000"/>
                <w:sz w:val="24"/>
                <w:szCs w:val="24"/>
              </w:rPr>
              <w:t>%)</w:t>
            </w:r>
          </w:p>
        </w:tc>
        <w:tc>
          <w:tcPr>
            <w:tcW w:w="1203" w:type="dxa"/>
            <w:shd w:val="clear" w:color="auto" w:fill="auto"/>
            <w:vAlign w:val="center"/>
            <w:hideMark/>
          </w:tcPr>
          <w:p w14:paraId="351F32ED"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False Negatives (h)</w:t>
            </w:r>
          </w:p>
        </w:tc>
        <w:tc>
          <w:tcPr>
            <w:tcW w:w="1203" w:type="dxa"/>
            <w:shd w:val="clear" w:color="auto" w:fill="auto"/>
            <w:vAlign w:val="center"/>
            <w:hideMark/>
          </w:tcPr>
          <w:p w14:paraId="08F1913B" w14:textId="1DCD440B"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 xml:space="preserve">False Negatives    </w:t>
            </w:r>
            <w:proofErr w:type="gramStart"/>
            <w:r w:rsidRPr="00DA225E">
              <w:rPr>
                <w:rFonts w:ascii="Times New Roman" w:eastAsia="Times New Roman" w:hAnsi="Times New Roman" w:cs="Times New Roman"/>
                <w:b/>
                <w:bCs/>
                <w:color w:val="000000"/>
                <w:sz w:val="24"/>
                <w:szCs w:val="24"/>
              </w:rPr>
              <w:t xml:space="preserve">   (</w:t>
            </w:r>
            <w:proofErr w:type="gramEnd"/>
            <w:r w:rsidRPr="00DA225E">
              <w:rPr>
                <w:rFonts w:ascii="Times New Roman" w:eastAsia="Times New Roman" w:hAnsi="Times New Roman" w:cs="Times New Roman"/>
                <w:b/>
                <w:bCs/>
                <w:color w:val="000000"/>
                <w:sz w:val="24"/>
                <w:szCs w:val="24"/>
              </w:rPr>
              <w:t>%)</w:t>
            </w:r>
          </w:p>
        </w:tc>
        <w:tc>
          <w:tcPr>
            <w:tcW w:w="974" w:type="dxa"/>
            <w:shd w:val="clear" w:color="auto" w:fill="auto"/>
            <w:vAlign w:val="center"/>
            <w:hideMark/>
          </w:tcPr>
          <w:p w14:paraId="365D43D3" w14:textId="66B8115E"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Mean lunge count</w:t>
            </w:r>
          </w:p>
        </w:tc>
        <w:tc>
          <w:tcPr>
            <w:tcW w:w="1243" w:type="dxa"/>
            <w:shd w:val="clear" w:color="auto" w:fill="auto"/>
            <w:vAlign w:val="center"/>
            <w:hideMark/>
          </w:tcPr>
          <w:p w14:paraId="32FFC2C1"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Mean lunge count difference</w:t>
            </w:r>
          </w:p>
        </w:tc>
        <w:tc>
          <w:tcPr>
            <w:tcW w:w="910" w:type="dxa"/>
            <w:shd w:val="clear" w:color="auto" w:fill="auto"/>
            <w:vAlign w:val="center"/>
            <w:hideMark/>
          </w:tcPr>
          <w:p w14:paraId="18DF3C6F"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Mean lunge depth (m)</w:t>
            </w:r>
          </w:p>
        </w:tc>
        <w:tc>
          <w:tcPr>
            <w:tcW w:w="1243" w:type="dxa"/>
            <w:shd w:val="clear" w:color="auto" w:fill="auto"/>
            <w:vAlign w:val="center"/>
            <w:hideMark/>
          </w:tcPr>
          <w:p w14:paraId="471E2B64"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Mean lunge depth difference</w:t>
            </w:r>
          </w:p>
        </w:tc>
      </w:tr>
      <w:tr w:rsidR="00861533" w:rsidRPr="00DA225E" w14:paraId="4738DC21" w14:textId="77777777" w:rsidTr="00B228B8">
        <w:trPr>
          <w:trHeight w:val="409"/>
        </w:trPr>
        <w:tc>
          <w:tcPr>
            <w:tcW w:w="2122" w:type="dxa"/>
            <w:shd w:val="clear" w:color="auto" w:fill="auto"/>
            <w:noWrap/>
            <w:vAlign w:val="center"/>
            <w:hideMark/>
          </w:tcPr>
          <w:p w14:paraId="479961D6" w14:textId="77777777" w:rsidR="00861533" w:rsidRPr="00DA225E" w:rsidRDefault="00861533" w:rsidP="00B61968">
            <w:pPr>
              <w:spacing w:after="0" w:line="276"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Bm160523-A20</w:t>
            </w:r>
          </w:p>
        </w:tc>
        <w:tc>
          <w:tcPr>
            <w:tcW w:w="857" w:type="dxa"/>
            <w:shd w:val="clear" w:color="auto" w:fill="auto"/>
            <w:noWrap/>
            <w:vAlign w:val="center"/>
            <w:hideMark/>
          </w:tcPr>
          <w:p w14:paraId="624B26A2"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98</w:t>
            </w:r>
          </w:p>
        </w:tc>
        <w:tc>
          <w:tcPr>
            <w:tcW w:w="1110" w:type="dxa"/>
            <w:shd w:val="clear" w:color="auto" w:fill="auto"/>
            <w:noWrap/>
            <w:vAlign w:val="center"/>
            <w:hideMark/>
          </w:tcPr>
          <w:p w14:paraId="7815F129"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1110" w:type="dxa"/>
            <w:shd w:val="clear" w:color="auto" w:fill="auto"/>
            <w:noWrap/>
            <w:vAlign w:val="center"/>
            <w:hideMark/>
          </w:tcPr>
          <w:p w14:paraId="7CD1A9B4"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1203" w:type="dxa"/>
            <w:shd w:val="clear" w:color="auto" w:fill="auto"/>
            <w:noWrap/>
            <w:vAlign w:val="center"/>
            <w:hideMark/>
          </w:tcPr>
          <w:p w14:paraId="12684951"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w:t>
            </w:r>
          </w:p>
        </w:tc>
        <w:tc>
          <w:tcPr>
            <w:tcW w:w="1203" w:type="dxa"/>
            <w:shd w:val="clear" w:color="auto" w:fill="auto"/>
            <w:noWrap/>
            <w:vAlign w:val="center"/>
            <w:hideMark/>
          </w:tcPr>
          <w:p w14:paraId="45D163B2"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w:t>
            </w:r>
          </w:p>
        </w:tc>
        <w:tc>
          <w:tcPr>
            <w:tcW w:w="974" w:type="dxa"/>
            <w:shd w:val="clear" w:color="auto" w:fill="auto"/>
            <w:noWrap/>
            <w:vAlign w:val="center"/>
            <w:hideMark/>
          </w:tcPr>
          <w:p w14:paraId="0CEA7125"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15</w:t>
            </w:r>
          </w:p>
        </w:tc>
        <w:tc>
          <w:tcPr>
            <w:tcW w:w="1243" w:type="dxa"/>
            <w:shd w:val="clear" w:color="auto" w:fill="auto"/>
            <w:noWrap/>
            <w:vAlign w:val="center"/>
            <w:hideMark/>
          </w:tcPr>
          <w:p w14:paraId="190344E0"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-2.4</w:t>
            </w:r>
          </w:p>
        </w:tc>
        <w:tc>
          <w:tcPr>
            <w:tcW w:w="910" w:type="dxa"/>
            <w:shd w:val="clear" w:color="auto" w:fill="auto"/>
            <w:noWrap/>
            <w:vAlign w:val="center"/>
            <w:hideMark/>
          </w:tcPr>
          <w:p w14:paraId="2D761433"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29.0</w:t>
            </w:r>
          </w:p>
        </w:tc>
        <w:tc>
          <w:tcPr>
            <w:tcW w:w="1243" w:type="dxa"/>
            <w:shd w:val="clear" w:color="auto" w:fill="auto"/>
            <w:noWrap/>
            <w:vAlign w:val="center"/>
            <w:hideMark/>
          </w:tcPr>
          <w:p w14:paraId="25F1C5AA"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-0.6</w:t>
            </w:r>
          </w:p>
        </w:tc>
      </w:tr>
      <w:tr w:rsidR="00861533" w:rsidRPr="00DA225E" w14:paraId="16A3306A" w14:textId="77777777" w:rsidTr="00B228B8">
        <w:trPr>
          <w:trHeight w:val="415"/>
        </w:trPr>
        <w:tc>
          <w:tcPr>
            <w:tcW w:w="2122" w:type="dxa"/>
            <w:shd w:val="clear" w:color="auto" w:fill="auto"/>
            <w:noWrap/>
            <w:vAlign w:val="center"/>
            <w:hideMark/>
          </w:tcPr>
          <w:p w14:paraId="6B61C1DE" w14:textId="77777777" w:rsidR="00861533" w:rsidRPr="00DA225E" w:rsidRDefault="00861533" w:rsidP="00B61968">
            <w:pPr>
              <w:spacing w:after="0" w:line="276"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Bm160716-A20</w:t>
            </w:r>
          </w:p>
        </w:tc>
        <w:tc>
          <w:tcPr>
            <w:tcW w:w="857" w:type="dxa"/>
            <w:shd w:val="clear" w:color="auto" w:fill="auto"/>
            <w:noWrap/>
            <w:vAlign w:val="center"/>
            <w:hideMark/>
          </w:tcPr>
          <w:p w14:paraId="2057405C"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92</w:t>
            </w:r>
          </w:p>
        </w:tc>
        <w:tc>
          <w:tcPr>
            <w:tcW w:w="1110" w:type="dxa"/>
            <w:shd w:val="clear" w:color="auto" w:fill="auto"/>
            <w:noWrap/>
            <w:vAlign w:val="center"/>
            <w:hideMark/>
          </w:tcPr>
          <w:p w14:paraId="4E4CD3AD"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w:t>
            </w:r>
          </w:p>
        </w:tc>
        <w:tc>
          <w:tcPr>
            <w:tcW w:w="1110" w:type="dxa"/>
            <w:shd w:val="clear" w:color="auto" w:fill="auto"/>
            <w:noWrap/>
            <w:vAlign w:val="center"/>
            <w:hideMark/>
          </w:tcPr>
          <w:p w14:paraId="74616DE9"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w:t>
            </w:r>
          </w:p>
        </w:tc>
        <w:tc>
          <w:tcPr>
            <w:tcW w:w="1203" w:type="dxa"/>
            <w:shd w:val="clear" w:color="auto" w:fill="auto"/>
            <w:noWrap/>
            <w:vAlign w:val="center"/>
            <w:hideMark/>
          </w:tcPr>
          <w:p w14:paraId="58C26A38"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w:t>
            </w:r>
          </w:p>
        </w:tc>
        <w:tc>
          <w:tcPr>
            <w:tcW w:w="1203" w:type="dxa"/>
            <w:shd w:val="clear" w:color="auto" w:fill="auto"/>
            <w:noWrap/>
            <w:vAlign w:val="center"/>
            <w:hideMark/>
          </w:tcPr>
          <w:p w14:paraId="3571D9CF"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w:t>
            </w:r>
          </w:p>
        </w:tc>
        <w:tc>
          <w:tcPr>
            <w:tcW w:w="974" w:type="dxa"/>
            <w:shd w:val="clear" w:color="auto" w:fill="auto"/>
            <w:noWrap/>
            <w:vAlign w:val="center"/>
            <w:hideMark/>
          </w:tcPr>
          <w:p w14:paraId="6BBDB084"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24.8</w:t>
            </w:r>
          </w:p>
        </w:tc>
        <w:tc>
          <w:tcPr>
            <w:tcW w:w="1243" w:type="dxa"/>
            <w:shd w:val="clear" w:color="auto" w:fill="auto"/>
            <w:noWrap/>
            <w:vAlign w:val="center"/>
            <w:hideMark/>
          </w:tcPr>
          <w:p w14:paraId="67299B62"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-1.7</w:t>
            </w:r>
          </w:p>
        </w:tc>
        <w:tc>
          <w:tcPr>
            <w:tcW w:w="910" w:type="dxa"/>
            <w:shd w:val="clear" w:color="auto" w:fill="auto"/>
            <w:noWrap/>
            <w:vAlign w:val="center"/>
            <w:hideMark/>
          </w:tcPr>
          <w:p w14:paraId="423AD9F0"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161.3</w:t>
            </w:r>
          </w:p>
        </w:tc>
        <w:tc>
          <w:tcPr>
            <w:tcW w:w="1243" w:type="dxa"/>
            <w:shd w:val="clear" w:color="auto" w:fill="auto"/>
            <w:noWrap/>
            <w:vAlign w:val="center"/>
            <w:hideMark/>
          </w:tcPr>
          <w:p w14:paraId="66C7B622"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1.3</w:t>
            </w:r>
          </w:p>
        </w:tc>
      </w:tr>
      <w:tr w:rsidR="00861533" w:rsidRPr="00DA225E" w14:paraId="7278D3DB" w14:textId="77777777" w:rsidTr="00B228B8">
        <w:trPr>
          <w:trHeight w:val="420"/>
        </w:trPr>
        <w:tc>
          <w:tcPr>
            <w:tcW w:w="2122" w:type="dxa"/>
            <w:shd w:val="clear" w:color="auto" w:fill="auto"/>
            <w:noWrap/>
            <w:vAlign w:val="center"/>
            <w:hideMark/>
          </w:tcPr>
          <w:p w14:paraId="0D8501DE" w14:textId="77777777" w:rsidR="00861533" w:rsidRPr="00DA225E" w:rsidRDefault="00861533" w:rsidP="00B61968">
            <w:pPr>
              <w:spacing w:after="0" w:line="276"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Bm170622-TDR12</w:t>
            </w:r>
          </w:p>
        </w:tc>
        <w:tc>
          <w:tcPr>
            <w:tcW w:w="857" w:type="dxa"/>
            <w:shd w:val="clear" w:color="auto" w:fill="auto"/>
            <w:noWrap/>
            <w:vAlign w:val="center"/>
            <w:hideMark/>
          </w:tcPr>
          <w:p w14:paraId="42A54D55"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426</w:t>
            </w:r>
          </w:p>
        </w:tc>
        <w:tc>
          <w:tcPr>
            <w:tcW w:w="1110" w:type="dxa"/>
            <w:shd w:val="clear" w:color="auto" w:fill="auto"/>
            <w:noWrap/>
            <w:vAlign w:val="center"/>
            <w:hideMark/>
          </w:tcPr>
          <w:p w14:paraId="5A948BBF"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15</w:t>
            </w:r>
          </w:p>
        </w:tc>
        <w:tc>
          <w:tcPr>
            <w:tcW w:w="1110" w:type="dxa"/>
            <w:shd w:val="clear" w:color="auto" w:fill="auto"/>
            <w:noWrap/>
            <w:vAlign w:val="center"/>
            <w:hideMark/>
          </w:tcPr>
          <w:p w14:paraId="0FC1FE60"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w:t>
            </w:r>
          </w:p>
        </w:tc>
        <w:tc>
          <w:tcPr>
            <w:tcW w:w="1203" w:type="dxa"/>
            <w:shd w:val="clear" w:color="auto" w:fill="auto"/>
            <w:noWrap/>
            <w:vAlign w:val="center"/>
            <w:hideMark/>
          </w:tcPr>
          <w:p w14:paraId="20485024"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35</w:t>
            </w:r>
          </w:p>
        </w:tc>
        <w:tc>
          <w:tcPr>
            <w:tcW w:w="1203" w:type="dxa"/>
            <w:shd w:val="clear" w:color="auto" w:fill="auto"/>
            <w:noWrap/>
            <w:vAlign w:val="center"/>
            <w:hideMark/>
          </w:tcPr>
          <w:p w14:paraId="11372F73"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8%</w:t>
            </w:r>
          </w:p>
        </w:tc>
        <w:tc>
          <w:tcPr>
            <w:tcW w:w="974" w:type="dxa"/>
            <w:shd w:val="clear" w:color="auto" w:fill="auto"/>
            <w:noWrap/>
            <w:vAlign w:val="center"/>
            <w:hideMark/>
          </w:tcPr>
          <w:p w14:paraId="0D24155D"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20.8</w:t>
            </w:r>
          </w:p>
        </w:tc>
        <w:tc>
          <w:tcPr>
            <w:tcW w:w="1243" w:type="dxa"/>
            <w:shd w:val="clear" w:color="auto" w:fill="auto"/>
            <w:noWrap/>
            <w:vAlign w:val="center"/>
            <w:hideMark/>
          </w:tcPr>
          <w:p w14:paraId="3C54484F"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-0.1</w:t>
            </w:r>
          </w:p>
        </w:tc>
        <w:tc>
          <w:tcPr>
            <w:tcW w:w="910" w:type="dxa"/>
            <w:shd w:val="clear" w:color="auto" w:fill="auto"/>
            <w:noWrap/>
            <w:vAlign w:val="center"/>
            <w:hideMark/>
          </w:tcPr>
          <w:p w14:paraId="0866C908"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159.2</w:t>
            </w:r>
          </w:p>
        </w:tc>
        <w:tc>
          <w:tcPr>
            <w:tcW w:w="1243" w:type="dxa"/>
            <w:shd w:val="clear" w:color="auto" w:fill="auto"/>
            <w:noWrap/>
            <w:vAlign w:val="center"/>
            <w:hideMark/>
          </w:tcPr>
          <w:p w14:paraId="6A3AF293"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0.9</w:t>
            </w:r>
          </w:p>
        </w:tc>
      </w:tr>
      <w:tr w:rsidR="00861533" w:rsidRPr="00DA225E" w14:paraId="6D3F5E74" w14:textId="77777777" w:rsidTr="00B228B8">
        <w:trPr>
          <w:trHeight w:val="412"/>
        </w:trPr>
        <w:tc>
          <w:tcPr>
            <w:tcW w:w="2122" w:type="dxa"/>
            <w:shd w:val="clear" w:color="auto" w:fill="auto"/>
            <w:noWrap/>
            <w:vAlign w:val="center"/>
            <w:hideMark/>
          </w:tcPr>
          <w:p w14:paraId="20646C53" w14:textId="77777777" w:rsidR="00861533" w:rsidRPr="00DA225E" w:rsidRDefault="00861533" w:rsidP="00B61968">
            <w:pPr>
              <w:spacing w:after="0" w:line="276"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Bm170925-TDR12</w:t>
            </w:r>
          </w:p>
        </w:tc>
        <w:tc>
          <w:tcPr>
            <w:tcW w:w="857" w:type="dxa"/>
            <w:shd w:val="clear" w:color="auto" w:fill="auto"/>
            <w:noWrap/>
            <w:vAlign w:val="center"/>
            <w:hideMark/>
          </w:tcPr>
          <w:p w14:paraId="479C780E"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98</w:t>
            </w:r>
          </w:p>
        </w:tc>
        <w:tc>
          <w:tcPr>
            <w:tcW w:w="1110" w:type="dxa"/>
            <w:shd w:val="clear" w:color="auto" w:fill="auto"/>
            <w:noWrap/>
            <w:vAlign w:val="center"/>
            <w:hideMark/>
          </w:tcPr>
          <w:p w14:paraId="58B68B00"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1110" w:type="dxa"/>
            <w:shd w:val="clear" w:color="auto" w:fill="auto"/>
            <w:noWrap/>
            <w:vAlign w:val="center"/>
            <w:hideMark/>
          </w:tcPr>
          <w:p w14:paraId="6DFF57A3"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1203" w:type="dxa"/>
            <w:shd w:val="clear" w:color="auto" w:fill="auto"/>
            <w:noWrap/>
            <w:vAlign w:val="center"/>
            <w:hideMark/>
          </w:tcPr>
          <w:p w14:paraId="77D203D8"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1203" w:type="dxa"/>
            <w:shd w:val="clear" w:color="auto" w:fill="auto"/>
            <w:noWrap/>
            <w:vAlign w:val="center"/>
            <w:hideMark/>
          </w:tcPr>
          <w:p w14:paraId="4EEA6A95"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w:t>
            </w:r>
          </w:p>
        </w:tc>
        <w:tc>
          <w:tcPr>
            <w:tcW w:w="974" w:type="dxa"/>
            <w:shd w:val="clear" w:color="auto" w:fill="auto"/>
            <w:noWrap/>
            <w:vAlign w:val="center"/>
            <w:hideMark/>
          </w:tcPr>
          <w:p w14:paraId="1207AC60"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16.9</w:t>
            </w:r>
          </w:p>
        </w:tc>
        <w:tc>
          <w:tcPr>
            <w:tcW w:w="1243" w:type="dxa"/>
            <w:shd w:val="clear" w:color="auto" w:fill="auto"/>
            <w:noWrap/>
            <w:vAlign w:val="center"/>
            <w:hideMark/>
          </w:tcPr>
          <w:p w14:paraId="4B6C94F9"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2.1</w:t>
            </w:r>
          </w:p>
        </w:tc>
        <w:tc>
          <w:tcPr>
            <w:tcW w:w="910" w:type="dxa"/>
            <w:shd w:val="clear" w:color="auto" w:fill="auto"/>
            <w:noWrap/>
            <w:vAlign w:val="center"/>
            <w:hideMark/>
          </w:tcPr>
          <w:p w14:paraId="1F9BF3D8"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227.8</w:t>
            </w:r>
          </w:p>
        </w:tc>
        <w:tc>
          <w:tcPr>
            <w:tcW w:w="1243" w:type="dxa"/>
            <w:shd w:val="clear" w:color="auto" w:fill="auto"/>
            <w:noWrap/>
            <w:vAlign w:val="center"/>
            <w:hideMark/>
          </w:tcPr>
          <w:p w14:paraId="3CE661B6"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0.1</w:t>
            </w:r>
          </w:p>
        </w:tc>
      </w:tr>
      <w:tr w:rsidR="00861533" w:rsidRPr="00DA225E" w14:paraId="511B150E" w14:textId="77777777" w:rsidTr="00B228B8">
        <w:trPr>
          <w:trHeight w:val="419"/>
        </w:trPr>
        <w:tc>
          <w:tcPr>
            <w:tcW w:w="2122" w:type="dxa"/>
            <w:shd w:val="clear" w:color="auto" w:fill="auto"/>
            <w:noWrap/>
            <w:vAlign w:val="center"/>
            <w:hideMark/>
          </w:tcPr>
          <w:p w14:paraId="33177217" w14:textId="77777777" w:rsidR="00861533" w:rsidRPr="00DA225E" w:rsidRDefault="00861533" w:rsidP="00B61968">
            <w:pPr>
              <w:spacing w:after="0" w:line="276" w:lineRule="auto"/>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Bm170926-TDR14</w:t>
            </w:r>
          </w:p>
        </w:tc>
        <w:tc>
          <w:tcPr>
            <w:tcW w:w="857" w:type="dxa"/>
            <w:shd w:val="clear" w:color="auto" w:fill="auto"/>
            <w:noWrap/>
            <w:vAlign w:val="center"/>
            <w:hideMark/>
          </w:tcPr>
          <w:p w14:paraId="2580B034"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104</w:t>
            </w:r>
          </w:p>
        </w:tc>
        <w:tc>
          <w:tcPr>
            <w:tcW w:w="1110" w:type="dxa"/>
            <w:shd w:val="clear" w:color="auto" w:fill="auto"/>
            <w:noWrap/>
            <w:vAlign w:val="center"/>
            <w:hideMark/>
          </w:tcPr>
          <w:p w14:paraId="54F4782E"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w:t>
            </w:r>
          </w:p>
        </w:tc>
        <w:tc>
          <w:tcPr>
            <w:tcW w:w="1110" w:type="dxa"/>
            <w:shd w:val="clear" w:color="auto" w:fill="auto"/>
            <w:noWrap/>
            <w:vAlign w:val="center"/>
            <w:hideMark/>
          </w:tcPr>
          <w:p w14:paraId="41B36CE1"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1%</w:t>
            </w:r>
          </w:p>
        </w:tc>
        <w:tc>
          <w:tcPr>
            <w:tcW w:w="1203" w:type="dxa"/>
            <w:shd w:val="clear" w:color="auto" w:fill="auto"/>
            <w:noWrap/>
            <w:vAlign w:val="center"/>
            <w:hideMark/>
          </w:tcPr>
          <w:p w14:paraId="1B64CA5C"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w:t>
            </w:r>
          </w:p>
        </w:tc>
        <w:tc>
          <w:tcPr>
            <w:tcW w:w="1203" w:type="dxa"/>
            <w:shd w:val="clear" w:color="auto" w:fill="auto"/>
            <w:noWrap/>
            <w:vAlign w:val="center"/>
            <w:hideMark/>
          </w:tcPr>
          <w:p w14:paraId="04B3DE01"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4%</w:t>
            </w:r>
          </w:p>
        </w:tc>
        <w:tc>
          <w:tcPr>
            <w:tcW w:w="974" w:type="dxa"/>
            <w:shd w:val="clear" w:color="auto" w:fill="auto"/>
            <w:noWrap/>
            <w:vAlign w:val="center"/>
            <w:hideMark/>
          </w:tcPr>
          <w:p w14:paraId="035870C8"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21.4</w:t>
            </w:r>
          </w:p>
        </w:tc>
        <w:tc>
          <w:tcPr>
            <w:tcW w:w="1243" w:type="dxa"/>
            <w:shd w:val="clear" w:color="auto" w:fill="auto"/>
            <w:noWrap/>
            <w:vAlign w:val="center"/>
            <w:hideMark/>
          </w:tcPr>
          <w:p w14:paraId="72EB66C5"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7.3</w:t>
            </w:r>
          </w:p>
        </w:tc>
        <w:tc>
          <w:tcPr>
            <w:tcW w:w="910" w:type="dxa"/>
            <w:shd w:val="clear" w:color="auto" w:fill="auto"/>
            <w:noWrap/>
            <w:vAlign w:val="center"/>
            <w:hideMark/>
          </w:tcPr>
          <w:p w14:paraId="4BD283A9"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223.1</w:t>
            </w:r>
          </w:p>
        </w:tc>
        <w:tc>
          <w:tcPr>
            <w:tcW w:w="1243" w:type="dxa"/>
            <w:shd w:val="clear" w:color="auto" w:fill="auto"/>
            <w:noWrap/>
            <w:vAlign w:val="center"/>
            <w:hideMark/>
          </w:tcPr>
          <w:p w14:paraId="6611BA0B" w14:textId="77777777" w:rsidR="00861533" w:rsidRPr="00DA225E" w:rsidRDefault="00861533" w:rsidP="00B61968">
            <w:pPr>
              <w:spacing w:after="0" w:line="276" w:lineRule="auto"/>
              <w:jc w:val="center"/>
              <w:rPr>
                <w:rFonts w:ascii="Times New Roman" w:eastAsia="Times New Roman" w:hAnsi="Times New Roman" w:cs="Times New Roman"/>
                <w:color w:val="000000"/>
                <w:sz w:val="24"/>
                <w:szCs w:val="24"/>
              </w:rPr>
            </w:pPr>
            <w:r w:rsidRPr="00DA225E">
              <w:rPr>
                <w:rFonts w:ascii="Times New Roman" w:eastAsia="Times New Roman" w:hAnsi="Times New Roman" w:cs="Times New Roman"/>
                <w:color w:val="000000"/>
                <w:sz w:val="24"/>
                <w:szCs w:val="24"/>
              </w:rPr>
              <w:t>3.4</w:t>
            </w:r>
          </w:p>
        </w:tc>
      </w:tr>
      <w:tr w:rsidR="00861533" w:rsidRPr="00DA225E" w14:paraId="6E237894" w14:textId="77777777" w:rsidTr="00B228B8">
        <w:trPr>
          <w:trHeight w:val="411"/>
        </w:trPr>
        <w:tc>
          <w:tcPr>
            <w:tcW w:w="2122" w:type="dxa"/>
            <w:shd w:val="clear" w:color="auto" w:fill="auto"/>
            <w:noWrap/>
            <w:vAlign w:val="center"/>
            <w:hideMark/>
          </w:tcPr>
          <w:p w14:paraId="1703AADB" w14:textId="77777777" w:rsidR="00861533" w:rsidRPr="00DA225E" w:rsidRDefault="00861533" w:rsidP="00B61968">
            <w:pPr>
              <w:spacing w:after="0" w:line="276" w:lineRule="auto"/>
              <w:jc w:val="right"/>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Overall Mean</w:t>
            </w:r>
          </w:p>
        </w:tc>
        <w:tc>
          <w:tcPr>
            <w:tcW w:w="857" w:type="dxa"/>
            <w:shd w:val="clear" w:color="auto" w:fill="auto"/>
            <w:noWrap/>
            <w:vAlign w:val="center"/>
            <w:hideMark/>
          </w:tcPr>
          <w:p w14:paraId="02BE5533" w14:textId="77777777" w:rsidR="00861533" w:rsidRPr="00DA225E" w:rsidRDefault="00861533" w:rsidP="00B61968">
            <w:pPr>
              <w:spacing w:after="0" w:line="276" w:lineRule="auto"/>
              <w:jc w:val="right"/>
              <w:rPr>
                <w:rFonts w:ascii="Times New Roman" w:eastAsia="Times New Roman" w:hAnsi="Times New Roman" w:cs="Times New Roman"/>
                <w:b/>
                <w:bCs/>
                <w:color w:val="000000"/>
                <w:sz w:val="24"/>
                <w:szCs w:val="24"/>
              </w:rPr>
            </w:pPr>
          </w:p>
        </w:tc>
        <w:tc>
          <w:tcPr>
            <w:tcW w:w="1110" w:type="dxa"/>
            <w:shd w:val="clear" w:color="auto" w:fill="auto"/>
            <w:noWrap/>
            <w:vAlign w:val="center"/>
            <w:hideMark/>
          </w:tcPr>
          <w:p w14:paraId="5AD73D7F" w14:textId="77777777" w:rsidR="00861533" w:rsidRPr="00DA225E" w:rsidRDefault="00861533" w:rsidP="00B61968">
            <w:pPr>
              <w:spacing w:after="0" w:line="276" w:lineRule="auto"/>
              <w:jc w:val="center"/>
              <w:rPr>
                <w:rFonts w:ascii="Times New Roman" w:eastAsia="Times New Roman" w:hAnsi="Times New Roman" w:cs="Times New Roman"/>
                <w:sz w:val="24"/>
                <w:szCs w:val="24"/>
              </w:rPr>
            </w:pPr>
          </w:p>
        </w:tc>
        <w:tc>
          <w:tcPr>
            <w:tcW w:w="1110" w:type="dxa"/>
            <w:shd w:val="clear" w:color="auto" w:fill="auto"/>
            <w:noWrap/>
            <w:vAlign w:val="center"/>
            <w:hideMark/>
          </w:tcPr>
          <w:p w14:paraId="0E5F2548"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3%</w:t>
            </w:r>
          </w:p>
        </w:tc>
        <w:tc>
          <w:tcPr>
            <w:tcW w:w="1203" w:type="dxa"/>
            <w:shd w:val="clear" w:color="auto" w:fill="auto"/>
            <w:noWrap/>
            <w:vAlign w:val="center"/>
            <w:hideMark/>
          </w:tcPr>
          <w:p w14:paraId="7325F419"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p>
        </w:tc>
        <w:tc>
          <w:tcPr>
            <w:tcW w:w="1203" w:type="dxa"/>
            <w:shd w:val="clear" w:color="auto" w:fill="auto"/>
            <w:noWrap/>
            <w:vAlign w:val="center"/>
            <w:hideMark/>
          </w:tcPr>
          <w:p w14:paraId="12126516"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4%</w:t>
            </w:r>
          </w:p>
        </w:tc>
        <w:tc>
          <w:tcPr>
            <w:tcW w:w="974" w:type="dxa"/>
            <w:shd w:val="clear" w:color="auto" w:fill="auto"/>
            <w:noWrap/>
            <w:vAlign w:val="center"/>
            <w:hideMark/>
          </w:tcPr>
          <w:p w14:paraId="66BCB629"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19.8</w:t>
            </w:r>
          </w:p>
        </w:tc>
        <w:tc>
          <w:tcPr>
            <w:tcW w:w="1243" w:type="dxa"/>
            <w:shd w:val="clear" w:color="auto" w:fill="auto"/>
            <w:noWrap/>
            <w:vAlign w:val="center"/>
            <w:hideMark/>
          </w:tcPr>
          <w:p w14:paraId="70A5336F"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1.1</w:t>
            </w:r>
          </w:p>
        </w:tc>
        <w:tc>
          <w:tcPr>
            <w:tcW w:w="910" w:type="dxa"/>
            <w:shd w:val="clear" w:color="auto" w:fill="auto"/>
            <w:noWrap/>
            <w:vAlign w:val="center"/>
            <w:hideMark/>
          </w:tcPr>
          <w:p w14:paraId="0CB322C9"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160.1</w:t>
            </w:r>
          </w:p>
        </w:tc>
        <w:tc>
          <w:tcPr>
            <w:tcW w:w="1243" w:type="dxa"/>
            <w:shd w:val="clear" w:color="auto" w:fill="auto"/>
            <w:noWrap/>
            <w:vAlign w:val="center"/>
            <w:hideMark/>
          </w:tcPr>
          <w:p w14:paraId="4F4A3D6E" w14:textId="77777777" w:rsidR="00861533" w:rsidRPr="00DA225E" w:rsidRDefault="00861533" w:rsidP="00B61968">
            <w:pPr>
              <w:spacing w:after="0" w:line="276" w:lineRule="auto"/>
              <w:jc w:val="center"/>
              <w:rPr>
                <w:rFonts w:ascii="Times New Roman" w:eastAsia="Times New Roman" w:hAnsi="Times New Roman" w:cs="Times New Roman"/>
                <w:b/>
                <w:bCs/>
                <w:color w:val="000000"/>
                <w:sz w:val="24"/>
                <w:szCs w:val="24"/>
              </w:rPr>
            </w:pPr>
            <w:r w:rsidRPr="00DA225E">
              <w:rPr>
                <w:rFonts w:ascii="Times New Roman" w:eastAsia="Times New Roman" w:hAnsi="Times New Roman" w:cs="Times New Roman"/>
                <w:b/>
                <w:bCs/>
                <w:color w:val="000000"/>
                <w:sz w:val="24"/>
                <w:szCs w:val="24"/>
              </w:rPr>
              <w:t>1</w:t>
            </w:r>
          </w:p>
        </w:tc>
      </w:tr>
    </w:tbl>
    <w:p w14:paraId="61D5BAE0"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 </w:t>
      </w:r>
    </w:p>
    <w:p w14:paraId="35907713" w14:textId="77777777" w:rsidR="00B61968" w:rsidRPr="00DA225E" w:rsidRDefault="00B61968" w:rsidP="00890401">
      <w:pPr>
        <w:spacing w:line="480" w:lineRule="auto"/>
        <w:rPr>
          <w:rFonts w:ascii="Times New Roman" w:hAnsi="Times New Roman" w:cs="Times New Roman"/>
          <w:sz w:val="24"/>
          <w:szCs w:val="24"/>
        </w:rPr>
        <w:sectPr w:rsidR="00B61968" w:rsidRPr="00DA225E" w:rsidSect="00B61968">
          <w:pgSz w:w="15840" w:h="12240" w:orient="landscape" w:code="1"/>
          <w:pgMar w:top="1440" w:right="1440" w:bottom="1440" w:left="1440" w:header="720" w:footer="720" w:gutter="0"/>
          <w:lnNumType w:countBy="1" w:start="793" w:restart="continuous"/>
          <w:cols w:space="720"/>
          <w:docGrid w:linePitch="360"/>
        </w:sectPr>
      </w:pPr>
    </w:p>
    <w:p w14:paraId="452ABCA5" w14:textId="1BF40953"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For the five high-resolution tags we down-sampled, we found good agreement between the high- and low-resolution measurement of key daily metrics (hours per day foraging, hourly lunge rate per day, and hourly lunge rate per day only when foraging; Fig. S</w:t>
      </w:r>
      <w:r w:rsidR="00840C7C" w:rsidRPr="00DA225E">
        <w:rPr>
          <w:rFonts w:ascii="Times New Roman" w:hAnsi="Times New Roman" w:cs="Times New Roman"/>
          <w:sz w:val="24"/>
          <w:szCs w:val="24"/>
        </w:rPr>
        <w:t>1</w:t>
      </w:r>
      <w:r w:rsidRPr="00DA225E">
        <w:rPr>
          <w:rFonts w:ascii="Times New Roman" w:hAnsi="Times New Roman" w:cs="Times New Roman"/>
          <w:sz w:val="24"/>
          <w:szCs w:val="24"/>
        </w:rPr>
        <w:t xml:space="preserve">). Outlying values often represented multiple days from the same tag. Overall, the hours of false positives (hours with lunges after down-sampling, but not with full data) were lower than the false negatives (hours with lunges not identified after down-sampling, but that had lunges with the full data), but each averaged &lt; 5% among the five tags. Similarly, differences in lunge count and lunge depth between the high-resolution and down-sampled data were small and in opposite directions for different tags, </w:t>
      </w:r>
      <w:proofErr w:type="gramStart"/>
      <w:r w:rsidRPr="00DA225E">
        <w:rPr>
          <w:rFonts w:ascii="Times New Roman" w:hAnsi="Times New Roman" w:cs="Times New Roman"/>
          <w:sz w:val="24"/>
          <w:szCs w:val="24"/>
        </w:rPr>
        <w:t>i.e.</w:t>
      </w:r>
      <w:proofErr w:type="gramEnd"/>
      <w:r w:rsidRPr="00DA225E">
        <w:rPr>
          <w:rFonts w:ascii="Times New Roman" w:hAnsi="Times New Roman" w:cs="Times New Roman"/>
          <w:sz w:val="24"/>
          <w:szCs w:val="24"/>
        </w:rPr>
        <w:t xml:space="preserve"> they were not biased in a consistent way. Moreover, differences were very small for four of the five tags, with most of the inconsistencies coming from one tag (Fig. S</w:t>
      </w:r>
      <w:r w:rsidR="00840C7C" w:rsidRPr="00DA225E">
        <w:rPr>
          <w:rFonts w:ascii="Times New Roman" w:hAnsi="Times New Roman" w:cs="Times New Roman"/>
          <w:sz w:val="24"/>
          <w:szCs w:val="24"/>
        </w:rPr>
        <w:t>2</w:t>
      </w:r>
      <w:r w:rsidRPr="00DA225E">
        <w:rPr>
          <w:rFonts w:ascii="Times New Roman" w:hAnsi="Times New Roman" w:cs="Times New Roman"/>
          <w:sz w:val="24"/>
          <w:szCs w:val="24"/>
        </w:rPr>
        <w:t xml:space="preserve">). </w:t>
      </w:r>
    </w:p>
    <w:p w14:paraId="1393E554" w14:textId="77777777" w:rsidR="00861533" w:rsidRPr="00DA225E" w:rsidRDefault="00861533" w:rsidP="00890401">
      <w:pPr>
        <w:spacing w:line="480" w:lineRule="auto"/>
        <w:rPr>
          <w:rFonts w:ascii="Times New Roman" w:hAnsi="Times New Roman" w:cs="Times New Roman"/>
          <w:sz w:val="24"/>
          <w:szCs w:val="24"/>
        </w:rPr>
      </w:pPr>
    </w:p>
    <w:p w14:paraId="2BD183C2"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noProof/>
          <w:sz w:val="24"/>
          <w:szCs w:val="24"/>
        </w:rPr>
        <w:drawing>
          <wp:inline distT="0" distB="0" distL="0" distR="0" wp14:anchorId="02147079" wp14:editId="2243FDDF">
            <wp:extent cx="5956300" cy="2233614"/>
            <wp:effectExtent l="0" t="0" r="6350" b="0"/>
            <wp:docPr id="15" name="Picture 15" descr="C:\Users\Musculus\Documents\R\LungeAnalysis\Output\DailyLungeActivity3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culus\Documents\R\LungeAnalysis\Output\DailyLungeActivity3plo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4857" cy="2240573"/>
                    </a:xfrm>
                    <a:prstGeom prst="rect">
                      <a:avLst/>
                    </a:prstGeom>
                    <a:noFill/>
                    <a:ln>
                      <a:noFill/>
                    </a:ln>
                  </pic:spPr>
                </pic:pic>
              </a:graphicData>
            </a:graphic>
          </wp:inline>
        </w:drawing>
      </w:r>
    </w:p>
    <w:p w14:paraId="1FB884D1" w14:textId="283D3358"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315E24" w:rsidRPr="00DA225E">
        <w:rPr>
          <w:rFonts w:ascii="Times New Roman" w:hAnsi="Times New Roman" w:cs="Times New Roman"/>
          <w:sz w:val="24"/>
          <w:szCs w:val="24"/>
        </w:rPr>
        <w:t>1</w:t>
      </w:r>
      <w:r w:rsidRPr="00DA225E">
        <w:rPr>
          <w:rFonts w:ascii="Times New Roman" w:hAnsi="Times New Roman" w:cs="Times New Roman"/>
          <w:sz w:val="24"/>
          <w:szCs w:val="24"/>
        </w:rPr>
        <w:t xml:space="preserve">. Daily metrics derived from high-resolution and down-sampled (low-resolution) data: a) hours per day foraging, b) hourly lunge rate per day, and 3) hourly lunge rate per day only when foraging. Red line shows 1:1 agreement between the measurements and blue line shows observed regression. Symbol type shows different days of the same tag. </w:t>
      </w:r>
    </w:p>
    <w:p w14:paraId="2295BA49"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 xml:space="preserve"> </w:t>
      </w:r>
      <w:r w:rsidRPr="00DA225E">
        <w:rPr>
          <w:rFonts w:ascii="Times New Roman" w:hAnsi="Times New Roman" w:cs="Times New Roman"/>
          <w:noProof/>
          <w:sz w:val="24"/>
          <w:szCs w:val="24"/>
        </w:rPr>
        <w:drawing>
          <wp:inline distT="0" distB="0" distL="0" distR="0" wp14:anchorId="53DE2BA6" wp14:editId="7F2C78A8">
            <wp:extent cx="5861050" cy="5128420"/>
            <wp:effectExtent l="0" t="0" r="6350" b="0"/>
            <wp:docPr id="16" name="Picture 16" descr="C:\Users\Musculus\Documents\R\LungeAnalysis\Output\LungeCountDepthDiffby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sculus\Documents\R\LungeAnalysis\Output\LungeCountDepthDiffbyH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9607" cy="5170907"/>
                    </a:xfrm>
                    <a:prstGeom prst="rect">
                      <a:avLst/>
                    </a:prstGeom>
                    <a:noFill/>
                    <a:ln>
                      <a:noFill/>
                    </a:ln>
                  </pic:spPr>
                </pic:pic>
              </a:graphicData>
            </a:graphic>
          </wp:inline>
        </w:drawing>
      </w:r>
    </w:p>
    <w:p w14:paraId="6518583C" w14:textId="6D622AB1"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315E24" w:rsidRPr="00DA225E">
        <w:rPr>
          <w:rFonts w:ascii="Times New Roman" w:hAnsi="Times New Roman" w:cs="Times New Roman"/>
          <w:sz w:val="24"/>
          <w:szCs w:val="24"/>
        </w:rPr>
        <w:t>2</w:t>
      </w:r>
      <w:r w:rsidRPr="00DA225E">
        <w:rPr>
          <w:rFonts w:ascii="Times New Roman" w:hAnsi="Times New Roman" w:cs="Times New Roman"/>
          <w:sz w:val="24"/>
          <w:szCs w:val="24"/>
        </w:rPr>
        <w:t>. Differences in hourly lunge count and lunge depth between high-resolution and down-sampled (low-resolution) tags, plotted for each of the five tags in the subset.</w:t>
      </w:r>
    </w:p>
    <w:p w14:paraId="4274330F" w14:textId="77777777" w:rsidR="00B61968" w:rsidRPr="00DA225E" w:rsidRDefault="00B61968" w:rsidP="00890401">
      <w:pPr>
        <w:spacing w:line="480" w:lineRule="auto"/>
        <w:rPr>
          <w:rFonts w:ascii="Times New Roman" w:hAnsi="Times New Roman" w:cs="Times New Roman"/>
          <w:sz w:val="24"/>
          <w:szCs w:val="24"/>
        </w:rPr>
      </w:pPr>
    </w:p>
    <w:p w14:paraId="71FDEE34" w14:textId="363B2E45"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The lunges that were missed in the down-sampled data mostly consisted of hours with shallow lunges at night (Fig. S</w:t>
      </w:r>
      <w:r w:rsidR="00840C7C" w:rsidRPr="00DA225E">
        <w:rPr>
          <w:rFonts w:ascii="Times New Roman" w:hAnsi="Times New Roman" w:cs="Times New Roman"/>
          <w:sz w:val="24"/>
          <w:szCs w:val="24"/>
        </w:rPr>
        <w:t>3</w:t>
      </w:r>
      <w:r w:rsidRPr="00DA225E">
        <w:rPr>
          <w:rFonts w:ascii="Times New Roman" w:hAnsi="Times New Roman" w:cs="Times New Roman"/>
          <w:sz w:val="24"/>
          <w:szCs w:val="24"/>
        </w:rPr>
        <w:t>). These were mostly from 4 of 19 nights from a single tagged individual that engaged in rare night feeding. These misclassifications mostly reflected the greater challenge of correctly classifying shallow lunges without accelerometry data.</w:t>
      </w:r>
    </w:p>
    <w:p w14:paraId="123DAE66" w14:textId="6FC4F245"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 xml:space="preserve"> </w:t>
      </w:r>
      <w:r w:rsidRPr="00DA225E">
        <w:rPr>
          <w:rFonts w:ascii="Times New Roman" w:hAnsi="Times New Roman" w:cs="Times New Roman"/>
          <w:noProof/>
          <w:sz w:val="24"/>
          <w:szCs w:val="24"/>
        </w:rPr>
        <w:drawing>
          <wp:inline distT="0" distB="0" distL="0" distR="0" wp14:anchorId="08A26ED0" wp14:editId="3D8F3FF5">
            <wp:extent cx="5643880" cy="7054850"/>
            <wp:effectExtent l="0" t="0" r="0" b="0"/>
            <wp:docPr id="17" name="Picture 17" descr="C:\Users\Musculus\Documents\R\LungeAnalysis\Output\LungeClassificationbyHour4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culus\Documents\R\LungeAnalysis\Output\LungeClassificationbyHour4plo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5686" cy="7057108"/>
                    </a:xfrm>
                    <a:prstGeom prst="rect">
                      <a:avLst/>
                    </a:prstGeom>
                    <a:noFill/>
                    <a:ln>
                      <a:noFill/>
                    </a:ln>
                  </pic:spPr>
                </pic:pic>
              </a:graphicData>
            </a:graphic>
          </wp:inline>
        </w:drawing>
      </w:r>
    </w:p>
    <w:p w14:paraId="63583440" w14:textId="5D28AE93"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315E24" w:rsidRPr="00DA225E">
        <w:rPr>
          <w:rFonts w:ascii="Times New Roman" w:hAnsi="Times New Roman" w:cs="Times New Roman"/>
          <w:sz w:val="24"/>
          <w:szCs w:val="24"/>
        </w:rPr>
        <w:t>3</w:t>
      </w:r>
      <w:r w:rsidRPr="00DA225E">
        <w:rPr>
          <w:rFonts w:ascii="Times New Roman" w:hAnsi="Times New Roman" w:cs="Times New Roman"/>
          <w:sz w:val="24"/>
          <w:szCs w:val="24"/>
        </w:rPr>
        <w:t xml:space="preserve">. Distribution by hour of day for lunge count (top) and mean lunge depth (bottom), for hours where the high resolution detected lunging activity but the low resolution did not (above) and where they both had lunging (below). </w:t>
      </w:r>
    </w:p>
    <w:p w14:paraId="49D97A1A" w14:textId="0433B062" w:rsidR="00861533" w:rsidRPr="00DA225E" w:rsidRDefault="00861533" w:rsidP="00890401">
      <w:pPr>
        <w:spacing w:line="480" w:lineRule="auto"/>
        <w:rPr>
          <w:rFonts w:ascii="Times New Roman" w:hAnsi="Times New Roman" w:cs="Times New Roman"/>
          <w:b/>
          <w:bCs/>
          <w:sz w:val="24"/>
          <w:szCs w:val="24"/>
        </w:rPr>
      </w:pPr>
      <w:r w:rsidRPr="00DA225E">
        <w:rPr>
          <w:rFonts w:ascii="Times New Roman" w:hAnsi="Times New Roman" w:cs="Times New Roman"/>
          <w:sz w:val="24"/>
          <w:szCs w:val="24"/>
        </w:rPr>
        <w:lastRenderedPageBreak/>
        <w:t xml:space="preserve">We linearly interpolated whale tracks to obtain hourly locations using package </w:t>
      </w:r>
      <w:proofErr w:type="spellStart"/>
      <w:r w:rsidRPr="00DA225E">
        <w:rPr>
          <w:rFonts w:ascii="Times New Roman" w:hAnsi="Times New Roman" w:cs="Times New Roman"/>
          <w:sz w:val="24"/>
          <w:szCs w:val="24"/>
        </w:rPr>
        <w:t>adehabitatLT</w:t>
      </w:r>
      <w:proofErr w:type="spellEnd"/>
      <w:r w:rsidRPr="00DA225E">
        <w:rPr>
          <w:rFonts w:ascii="Times New Roman" w:hAnsi="Times New Roman" w:cs="Times New Roman"/>
          <w:sz w:val="24"/>
          <w:szCs w:val="24"/>
        </w:rPr>
        <w:t xml:space="preserve"> version 0.3.24 for R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{"citationItems":[{"id":"ITEM-1","itemData":{"author":[{"dropping-particle":"","family":"Calenge","given":"C.","non-dropping-particle":"","parse-names":false,"suffix":""}],"container-title":"Ecological Modelling","id":"ITEM-1","issued":{"date-parts":[["2006"]]},"page":"516-519","title":"The package adehabitat for the R software: a tool for the analysis of space and habitat use by animals","type":"article-journal","volume":"197"},"uris":["http://www.mendeley.com/documents/?uuid=ce0b0c5b-486d-40ea-bae1-b2ce3e6ddef3"]}],"mendeley":{"formattedCitation":"(Calenge, 2006)","plainTextFormattedCitation":"(Calenge, 2006)","previouslyFormattedCitation":"(Calenge, 2006)"},"properties":{"noteIndex":0},"schema":"https://github.com/citation-style-language/schema/raw/master/csl-citation.json"}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(Calenge, 2006)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Given the broad spatial resolution used for the analysis (100 km x 100 km locations; see main text), linear interpolation was deemed sufficient. To avoid extrapolation over long gaps in the location data, tracks were split into separate segments whenever consecutive locations were separated by more than 10 hours. Hourly locations were then paired with hourly summaries of diving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 </w:t>
      </w:r>
      <w:r w:rsidRPr="00DA225E">
        <w:rPr>
          <w:rFonts w:ascii="Times New Roman" w:hAnsi="Times New Roman" w:cs="Times New Roman"/>
          <w:b/>
          <w:bCs/>
          <w:sz w:val="24"/>
          <w:szCs w:val="24"/>
        </w:rPr>
        <w:t> </w:t>
      </w:r>
    </w:p>
    <w:p w14:paraId="372E2524" w14:textId="77777777" w:rsidR="00861533" w:rsidRPr="00DA225E" w:rsidRDefault="00861533" w:rsidP="00890401">
      <w:pPr>
        <w:spacing w:line="480" w:lineRule="auto"/>
        <w:rPr>
          <w:rFonts w:ascii="Times New Roman" w:hAnsi="Times New Roman" w:cs="Times New Roman"/>
          <w:b/>
          <w:bCs/>
          <w:sz w:val="24"/>
          <w:szCs w:val="24"/>
        </w:rPr>
      </w:pPr>
      <w:r w:rsidRPr="00DA225E">
        <w:rPr>
          <w:rFonts w:ascii="Times New Roman" w:hAnsi="Times New Roman" w:cs="Times New Roman"/>
          <w:b/>
          <w:bCs/>
          <w:sz w:val="24"/>
          <w:szCs w:val="24"/>
        </w:rPr>
        <w:br w:type="page"/>
      </w:r>
    </w:p>
    <w:p w14:paraId="0053ACED" w14:textId="7CFF4A4F" w:rsidR="00861533" w:rsidRPr="00DA225E" w:rsidRDefault="00B228B8" w:rsidP="00890401">
      <w:pPr>
        <w:spacing w:line="480" w:lineRule="auto"/>
        <w:rPr>
          <w:rFonts w:ascii="Times New Roman" w:hAnsi="Times New Roman" w:cs="Times New Roman"/>
          <w:b/>
          <w:bCs/>
          <w:sz w:val="24"/>
          <w:szCs w:val="24"/>
        </w:rPr>
      </w:pPr>
      <w:r>
        <w:rPr>
          <w:rFonts w:ascii="Times New Roman" w:hAnsi="Times New Roman" w:cs="Times New Roman"/>
          <w:b/>
          <w:bCs/>
          <w:sz w:val="24"/>
          <w:szCs w:val="24"/>
          <w:lang/>
        </w:rPr>
        <w:lastRenderedPageBreak/>
        <w:t>Supplementary Methods S2</w:t>
      </w:r>
      <w:r w:rsidR="00890401" w:rsidRPr="00DA225E">
        <w:rPr>
          <w:rFonts w:ascii="Times New Roman" w:hAnsi="Times New Roman" w:cs="Times New Roman"/>
          <w:b/>
          <w:bCs/>
          <w:sz w:val="24"/>
          <w:szCs w:val="24"/>
        </w:rPr>
        <w:t xml:space="preserve">. </w:t>
      </w:r>
      <w:r w:rsidR="00861533" w:rsidRPr="00DA225E">
        <w:rPr>
          <w:rFonts w:ascii="Times New Roman" w:hAnsi="Times New Roman" w:cs="Times New Roman"/>
          <w:b/>
          <w:bCs/>
          <w:sz w:val="24"/>
          <w:szCs w:val="24"/>
        </w:rPr>
        <w:t>Development of exposure-response probability functions</w:t>
      </w:r>
    </w:p>
    <w:p w14:paraId="251DA138" w14:textId="77777777" w:rsidR="00861533" w:rsidRPr="00DA225E" w:rsidRDefault="00861533" w:rsidP="00890401">
      <w:pPr>
        <w:spacing w:line="480" w:lineRule="auto"/>
        <w:rPr>
          <w:rFonts w:ascii="Times New Roman" w:hAnsi="Times New Roman" w:cs="Times New Roman"/>
          <w:i/>
          <w:iCs/>
          <w:sz w:val="24"/>
          <w:szCs w:val="24"/>
        </w:rPr>
      </w:pPr>
    </w:p>
    <w:p w14:paraId="7CBE9FC2" w14:textId="77777777"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t>Discrete, context-relevant exposure-response functions</w:t>
      </w:r>
    </w:p>
    <w:p w14:paraId="3803C977" w14:textId="3CC807DC" w:rsidR="00861533" w:rsidRPr="00DA225E" w:rsidRDefault="00861533" w:rsidP="00890401">
      <w:pPr>
        <w:spacing w:line="480" w:lineRule="auto"/>
        <w:rPr>
          <w:rFonts w:ascii="Times New Roman" w:hAnsi="Times New Roman" w:cs="Times New Roman"/>
          <w:sz w:val="24"/>
          <w:szCs w:val="24"/>
        </w:rPr>
      </w:pPr>
      <w:bookmarkStart w:id="0" w:name="OLE_LINK1"/>
      <w:r w:rsidRPr="00DA225E">
        <w:rPr>
          <w:rFonts w:ascii="Times New Roman" w:hAnsi="Times New Roman" w:cs="Times New Roman"/>
          <w:sz w:val="24"/>
          <w:szCs w:val="24"/>
        </w:rPr>
        <w:t xml:space="preserve">There are three categories of underlying assumptions and observations from the existing literature inherent in the derivations of the deliberately coarse, context-dependent functions we used in this study. First, there is increasing scientific support for context-dependency in marine mammal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response probability.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{"citationItems":[{"id":"ITEM-1","itemData":{"DOI":"10.1111/j.1523-1739.2011.01803.x","ISSN":"1523-1739","PMID":"22182143","abstract":"Acute effects of anthropogenic sounds on marine mammals, such as from military sonars, energy development, and offshore construction, have received considerable international attention from scientists, regulators, and industry. Moreover, there has been increasing recognition and concern about the potential chronic effects of human activities (e.g., shipping). It has been demonstrated that increases in human activity and background noise can alter habitats of marine animals and potentially mask communications for species that rely on sound to mate, feed, avoid predators, and navigate. Without exception, regulatory agencies required to assess and manage the effects of noise on marine mammals have addressed only the acute effects of noise on hearing and behavior. Furthermore, they have relied on a single exposure metric to assess acute effects: the absolute sound level received by the animal. There is compelling evidence that factors other than received sound level, including the activity state of animals exposed to different sounds, the nature and novelty of a sound, and spatial relations between sound source and receiving animals (i.e., the exposure context) strongly affect the probability of a behavioral response. A more comprehensive assessment method is needed that accounts for the fact that multiple contextual factors can affect how animals respond to both acute and chronic noise. We propose a three-part approach. The first includes measurement and evaluation of context-based behavioral responses of marine mammals exposed to various sounds. The second includes new assessment metrics that emphasize relative sound levels (i.e., ratio of signal to background noise and level above hearing threshold). The third considers the effects of chronic and acute noise exposure. All three aspects of sound exposure (context, relative sound level, and chronic noise) mediate behavioral response, and we suggest they be integrated into ecosystem-level management and the spatial planning of human offshore activities.","author":[{"dropping-particle":"","family":"Ellison","given":"William T.","non-dropping-particle":"","parse-names":false,"suffix":""},{"dropping-particle":"","family":"Southall","given":"B L","non-dropping-particle":"","parse-names":false,"suffix":""},{"dropping-particle":"","family":"Clark","given":"C W","non-dropping-particle":"","parse-names":false,"suffix":""},{"dropping-particle":"","family":"Frankel","given":"A S","non-dropping-particle":"","parse-names":false,"suffix":""}],"container-title":"Conservation Biology","id":"ITEM-1","issue":"1","issued":{"date-parts":[["2012","2"]]},"page":"21-28","title":"A new context-based approach to assess marine mammal behavioral responses to anthropogenic sounds","type":"article-journal","volume":"26"},"uris":["http://www.mendeley.com/documents/?uuid=31cb0fda-1fa5-4d76-8bea-4b7ac1031843"]}],"mendeley":{"formattedCitation":"(Ellison &lt;i&gt;et al.&lt;/i&gt;, 2012)","manualFormatting":"Ellison et al. (2012)","plainTextFormattedCitation":"(Ellison et al., 2012)","previouslyFormattedCitation":"(Ellison &lt;i&gt;et al.&lt;/i&gt;, 2012)"},"properties":{"noteIndex":0},"schema":"https://github.com/citation-style-language/schema/raw/master/csl-citation.json"}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Ellison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2012)</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proposed a bi-phasic relationship whereby response probability </w:t>
      </w:r>
      <w:proofErr w:type="spellStart"/>
      <w:r w:rsidRPr="00DA225E">
        <w:rPr>
          <w:rFonts w:ascii="Times New Roman" w:hAnsi="Times New Roman" w:cs="Times New Roman"/>
          <w:sz w:val="24"/>
          <w:szCs w:val="24"/>
        </w:rPr>
        <w:t>to</w:t>
      </w:r>
      <w:proofErr w:type="spellEnd"/>
      <w:r w:rsidRPr="00DA225E">
        <w:rPr>
          <w:rFonts w:ascii="Times New Roman" w:hAnsi="Times New Roman" w:cs="Times New Roman"/>
          <w:sz w:val="24"/>
          <w:szCs w:val="24"/>
        </w:rPr>
        <w:t xml:space="preserve"> low to moderate level noise exposure is dependent on key contextual factors (e.g., spatial proximity, relative orientation, environmental factors), while high level exposures (near and approaching levels of auditory fatigue, or temporary threshold shift (TTS)) are more likely to follow linear exposure-response relationships.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Frankel","given":"A.S.","non-dropping-particle":"","parse-names":false,"suffix":""},{"dropping-particle":"","family":"Ellison","given":"W.T.","non-dropping-particle":"","parse-names":false,"suffix":""},{"dropping-particle":"","family":"Vigness-Raposa","given":"K.J.","non-dropping-particle":"","parse-names":false,"suffix":""},{"dropping-particle":"","family":"Giard","given":"J.L.","non-dropping-particle":"","parse-names":false,"suffix":""},{"dropping-particle":"","family":"Southall","given":"B.L.","non-dropping-particle":"","parse-names":false,"suffix":""}],"container-title":"The Effects of Noise on Aquatic Life II","id":"ITEM-1","issued":{"date-parts":[["2016"]]},"page":"321-329","publisher":"Springer, New York","title":"Stochastic modeling of behavioral response to anthropogenic sounds","type":"chapter"},"uris":["http://www.mendeley.com/documents/?uuid=4637b203-dae6-4228-b02b-8bced191e407"]},{"id":"ITEM-2","itemData":{"DOI":"10.1578/AM.44.3.2018.239","ISSN":"01675427","author":[{"dropping-particle":"","family":"Ellison","given":"William T.","non-dropping-particle":"","parse-names":false,"suffix":""},{"dropping-particle":"","family":"Southall","given":"Brandon L.","non-dropping-particle":"","parse-names":false,"suffix":""},{"dropping-particle":"","family":"Frankel","given":"Adam S.","non-dropping-particle":"","parse-names":false,"suffix":""},{"dropping-particle":"","family":"Vigness-Raposa","given":"Kathleen","non-dropping-particle":"","parse-names":false,"suffix":""},{"dropping-particle":"","family":"Clark","given":"Christopher W.","non-dropping-particle":"","parse-names":false,"suffix":""}],"container-title":"Aquatic Mammals","id":"ITEM-2","issue":"3","issued":{"date-parts":[["2018"]]},"page":"239-243","title":"An acoustic scene perspective on spatial, temporal, and spectral aspects of marine mammal behavioral responses to noise","type":"article-journal","volume":"44"},"uris":["http://www.mendeley.com/documents/?uuid=4b62a360-f78b-42d9-a740-00bb6072ac41"]}],"mendeley":{"formattedCitation":"(Frankel &lt;i&gt;et al.&lt;/i&gt;, 2016; Ellison &lt;i&gt;et al.&lt;/i&gt;, 2018)","manualFormatting":"Frankel et al. (2016) and  Ellison et al. (2018)","plainTextFormattedCitation":"(Frankel et al., 2016; Ellison et al., 2018)","previouslyFormattedCitation":"(Frankel &lt;i&gt;et al.&lt;/i&gt;, 2016; Ellison &lt;i&gt;et al.&lt;/i&gt;, 2018)"},"properties":{"noteIndex":0},"schema":"https://github.com/citation-style-language/schema/raw/master/csl-citation.json"}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Frankel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2016</w:t>
      </w:r>
      <w:r w:rsidR="00B228B8">
        <w:rPr>
          <w:rFonts w:ascii="Times New Roman" w:hAnsi="Times New Roman" w:cs="Times New Roman"/>
          <w:noProof/>
          <w:sz w:val="24"/>
          <w:szCs w:val="24"/>
          <w:lang/>
        </w:rPr>
        <w:t xml:space="preserve">) and </w:t>
      </w:r>
      <w:r w:rsidR="00B228B8" w:rsidRPr="00B228B8">
        <w:rPr>
          <w:rFonts w:ascii="Times New Roman" w:hAnsi="Times New Roman" w:cs="Times New Roman"/>
          <w:noProof/>
          <w:sz w:val="24"/>
          <w:szCs w:val="24"/>
        </w:rPr>
        <w:t xml:space="preserve"> Ellison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2018)</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provide further characterization and parameterization of context-dependencies in generalized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response probability. </w:t>
      </w:r>
    </w:p>
    <w:p w14:paraId="1A0346F3" w14:textId="75EB2F49" w:rsidR="00861533" w:rsidRPr="00DA225E" w:rsidRDefault="00861533" w:rsidP="00B61968">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Second, there is empirical support for context-dependent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 and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responses in blue whales.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{"citationItems":[{"id":"ITEM-1","itemData":{"DOI":"10.1111/mms.12134","ISSN":"08240469","author":[{"dropping-particle":"","family":"Friedlaender","given":"Ari S.","non-dropping-particle":"","parse-names":false,"suffix":""},{"dropping-particle":"","family":"Goldbogen","given":"Jeremy a.","non-dropping-particle":"","parse-names":false,"suffix":""},{"dropping-particle":"","family":"Hazen","given":"Elliott L.","non-dropping-particle":"","parse-names":false,"suffix":""},{"dropping-particle":"","family":"Calambokidis","given":"John","non-dropping-particle":"","parse-names":false,"suffix":""},{"dropping-particle":"","family":"Southall","given":"Brandon L.","non-dropping-particle":"","parse-names":false,"suffix":""}],"container-title":"Marine Mammal Science","id":"ITEM-1","issued":{"date-parts":[["2014","4","29"]]},"title":"Feeding performance by sympatric blue and fin whales exploiting a common prey resource","type":"article-journal"},"uris":["http://www.mendeley.com/documents/?uuid=45402c57-b2a5-44de-94fc-589d64278cb7"]},{"id":"ITEM-2","itemData":{"DOI":"10.1016/j.cub.2017.10.023","ISSN":"09609822","abstract":"Lateralized behaviors benefit individuals by increasing task efficiency in foraging and anti-predator behaviors [1–4]. The conventional lateralization paradigm suggests individuals are left or right lateralized, although the direction of this laterality can vary for different tasks (e.g. foraging or predator inspection/avoidance). By fitting tri-axial movement sensors to blue whales (Balaenoptera musculus), and by recording the direction and size of their rolls during lunge feeding events, we show how these animals differ from such a paradigm. The strength and direction of individuals’ lateralization were related to where and how the whales were feeding in the water column. Smaller rolls (≤180°) predominantly occurred at depth (&gt;70 m), with whales being more likely to rotate clockwise around their longest axis (right lateralized). Larger rolls (&gt;180°), conversely, occurred more often at shallower depths (&lt;70 m) and were more likely to be performed anti-clockwise (left lateralized). More acrobatic rolls are typically used to target small, less dense krill patches near the water's surface [5,6], and we posit that the specialization of lateralized feeding strategies may enhance foraging efficiency in environments with heterogeneous prey distributions. Friedlaender et al. show that blue whales exhibit a kind of ‘handedness’ as they forage for prey, tending to roll clockwise or counterclockwise during lunge feeding depending on depth. Such context-dependent, lateralized behavior may optimize foraging efficiency.","author":[{"dropping-particle":"","family":"Friedlaender","given":"Ari S.","non-dropping-particle":"","parse-names":false,"suffix":""},{"dropping-particle":"","family":"Herbert-Read","given":"James E.","non-dropping-particle":"","parse-names":false,"suffix":""},{"dropping-particle":"","family":"Hazen","given":"Elliott L.","non-dropping-particle":"","parse-names":false,"suffix":""},{"dropping-particle":"","family":"Cade","given":"David E.","non-dropping-particle":"","parse-names":false,"suffix":""},{"dropping-particle":"","family":"Calambokidis","given":"John","non-dropping-particle":"","parse-names":false,"suffix":""},{"dropping-particle":"","family":"Southall","given":"Brandon L.","non-dropping-particle":"","parse-names":false,"suffix":""},{"dropping-particle":"","family":"Stimpert","given":"Alison K.","non-dropping-particle":"","parse-names":false,"suffix":""},{"dropping-particle":"","family":"Goldbogen","given":"Jeremy A.","non-dropping-particle":"","parse-names":false,"suffix":""}],"container-title":"Current Biology","id":"ITEM-2","issue":"22","issued":{"date-parts":[["2017"]]},"page":"R1206-R1208","title":"Context-dependent lateralized feeding strategies in blue whales","type":"article-journal","volume":"27"},"uris":["http://www.mendeley.com/documents/?uuid=c454d69e-3dc1-4de6-9ea8-d230ad2de834"]}],"mendeley":{"formattedCitation":"(Friedlaender &lt;i&gt;et al.&lt;/i&gt;, 2014, 2017)","manualFormatting":"Friedlaender et al. (2014, 2017)","plainTextFormattedCitation":"(Friedlaender et al., 2014, 2017)","previouslyFormattedCitation":"(Friedlaender &lt;i&gt;et al.&lt;/i&gt;, 2014, 2017)"},"properties":{"noteIndex":0},"schema":"https://github.com/citation-style-language/schema/raw/master/csl-citation.json"}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Friedlaender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2014, 2017)</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provide evidence of different kinds of spatial and environmental context dependency in baseline (undisturbed) blue whale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 Within the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response study in Southern California (SOCAL-BRS), multiple analyses of blue whales exposed to mid-frequency active sonar (MFAS) and pseudo-random noise (PRN) have demonstrated context-dependency in response in different ways. Analyses across individuals clearly demonstrated stronger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responses to MFAS and PRN for animals in deep-diving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state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{"citationItems":[{"id":"ITEM-1","itemData":{"abstract":"Characterization of multivariate time series of behaviour data from animal-borne sensors is challenging. Biologists require methods to objectively quantify baseline behaviour, then assess behaviour changes in response to environmental stimuli. Here, we apply hidden Markov models (HMMs) to characterize blue whale movement and diving behaviour, identifying latent states corresponding to three main underlying behaviour states: shallow feeding, travelling, and deep feeding. The model formulation accounts for inter-whale differences via a computationally efficient discrete random effect, and measures potential effects of experimental acoustic disturbance on between-state transition probabilities. We identify clear differences in blue whale disturbance response depending on the behavioural context during exposure, with whales less likely to initiate deep foraging behaviour during exposure. Findings are consistent with earlier studies using smaller samples, but the HMM approach provides more nuanced characterization of behaviour changes.","author":[{"dropping-particle":"","family":"DeRuiter","given":"Stacy L","non-dropping-particle":"","parse-names":false,"suffix":""},{"dropping-particle":"","family":"Langrock","given":"Roland","non-dropping-particle":"","parse-names":false,"suffix":""},{"dropping-particle":"","family":"Skirbutas","given":"Tomas","non-dropping-particle":"","parse-names":false,"suffix":""},{"dropping-particle":"","family":"Goldbogen","given":"Jeremy A","non-dropping-particle":"","parse-names":false,"suffix":""},{"dropping-particle":"","family":"Chalambokidis","given":"John","non-dropping-particle":"","parse-names":false,"suffix":""},{"dropping-particle":"","family":"Friedlaender","given":"Ari S","non-dropping-particle":"","parse-names":false,"suffix":""},{"dropping-particle":"","family":"Southall","given":"Brandon L","non-dropping-particle":"","parse-names":false,"suffix":""}],"container-title":"Annals of Applied Statistics","id":"ITEM-1","issue":"1","issued":{"date-parts":[["2017"]]},"page":"362-392","title":"A multivariate mixed hidden Markov model for blue whale behaviour and responses to sound exposure","type":"article-journal","volume":"11"},"uris":["http://www.mendeley.com/documents/?uuid=23db3aaa-da88-49d5-aa1d-790429c0d3b6"]},{"id":"ITEM-2","itemData":{"author":[{"dropping-particle":"","family":"Goldbogen","given":"Jeremy A.","non-dropping-particle":"","parse-names":false,"suffix":""},{"dropping-particle":"","family":"Southall","given":"Brandon L.","non-dropping-particle":"","parse-names":false,"suffix":""},{"dropping-particle":"","family":"DeRuiter","given":"Stacy L.","non-dropping-particle":"","parse-names":false,"suffix":""},{"dropping-particle":"","family":"Calambokidis","given":"John","non-dropping-particle":"","parse-names":false,"suffix":""},{"dropping-particle":"","family":"Friedlaender","given":"Ari S.","non-dropping-particle":"","parse-names":false,"suffix":""},{"dropping-particle":"","family":"Hazen","given":"Elliott L.","non-dropping-particle":"","parse-names":false,"suffix":""},{"dropping-particle":"","family":"Falcone","given":"Erin A.","non-dropping-particle":"","parse-names":false,"suffix":""},{"dropping-particle":"","family":"Schorr","given":"Gregory S.","non-dropping-particle":"","parse-names":false,"suffix":""},{"dropping-particle":"","family":"Douglas","given":"Annie","non-dropping-particle":"","parse-names":false,"suffix":""},{"dropping-particle":"","family":"Moretti","given":"David J.","non-dropping-particle":"","parse-names":false,"suffix":""},{"dropping-particle":"","family":"Kyburg","given":"Chris","non-dropping-particle":"","parse-names":false,"suffix":""},{"dropping-particle":"","family":"McKenna","given":"Megan F.","non-dropping-particle":"","parse-names":false,"suffix":""},{"dropping-particle":"","family":"Tyack","given":"Peter L.","non-dropping-particle":"","parse-names":false,"suffix":""}],"container-title":"Proceedings of the Royal Society of London. Series B: Biological Sciences","id":"ITEM-2","issued":{"date-parts":[["2013"]]},"page":"20130657","title":"Blue whales respond to simulated mid-frequency military sonar","type":"article-journal","volume":"280"},"uris":["http://www.mendeley.com/documents/?uuid=5fb74353-ece2-4efc-b6a9-dd19eebed75e"]}],"mendeley":{"formattedCitation":"(Goldbogen &lt;i&gt;et al.&lt;/i&gt;, 2013; DeRuiter &lt;i&gt;et al.&lt;/i&gt;, 2017)","plainTextFormattedCitation":"(Goldbogen et al., 2013; DeRuiter et al., 2017)","previouslyFormattedCitation":"(Goldbogen &lt;i&gt;et al.&lt;/i&gt;, 2013; DeRuiter &lt;i&gt;et al.&lt;/i&gt;, 2017)"},"properties":{"noteIndex":0},"schema":"https://github.com/citation-style-language/schema/raw/master/csl-citation.json"}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(Goldbogen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xml:space="preserve">, 2013; DeRuiter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2017)</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{"citationItems":[{"id":"ITEM-1","itemData":{"DOI":"10.1002/15-0783","ISSN":"10510761","author":[{"dropping-particle":"","family":"Friedlaender","given":"Ari S.","non-dropping-particle":"","parse-names":false,"suffix":""},{"dropping-particle":"","family":"Hazen","given":"E.L.","non-dropping-particle":"","parse-names":false,"suffix":""},{"dropping-particle":"","family":"Goldbogen","given":"J.A.","non-dropping-particle":"","parse-names":false,"suffix":""},{"dropping-particle":"","family":"Stimpert","given":"A.K.","non-dropping-particle":"","parse-names":false,"suffix":""},{"dropping-particle":"","family":"Calambokidis","given":"J.","non-dropping-particle":"","parse-names":false,"suffix":""},{"dropping-particle":"","family":"Southall","given":"B.L.","non-dropping-particle":"","parse-names":false,"suffix":""}],"container-title":"Ecological Applications","id":"ITEM-1","issue":"4","issued":{"date-parts":[["2016"]]},"page":"1075-1085","title":"Prey-mediated behavioral responses of feeding blue whales in controlled sound exposure experiments","type":"article-journal","volume":"26"},"uris":["http://www.mendeley.com/documents/?uuid=b5eb660a-10d8-4050-8b6b-1b051c4a9940"]}],"mendeley":{"formattedCitation":"(Friedlaender &lt;i&gt;et al.&lt;/i&gt;, 2016)","manualFormatting":"Friedlaender et al. (2016)","plainTextFormattedCitation":"(Friedlaender et al., 2016)","previouslyFormattedCitation":"(Friedlaender &lt;i&gt;et al.&lt;/i&gt;, 2016)"},"properties":{"noteIndex":0},"schema":"https://github.com/citation-style-language/schema/raw/master/csl-citation.json"}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Friedlaender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further demonstrated the importance of the environmental context of prey distribution as a </w:t>
      </w:r>
      <w:r w:rsidRPr="00DA225E">
        <w:rPr>
          <w:rFonts w:ascii="Times New Roman" w:hAnsi="Times New Roman" w:cs="Times New Roman"/>
          <w:sz w:val="24"/>
          <w:szCs w:val="24"/>
        </w:rPr>
        <w:lastRenderedPageBreak/>
        <w:t xml:space="preserve">mediating factor in blue whale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 and responses to disturbance. Finally,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i/>
          <w:noProof/>
          <w:sz w:val="24"/>
          <w:szCs w:val="24"/>
          <w:lang/>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2019a)</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applied both qualitative and quantitative metrics within individuals to evaluate not only the probability of response, but also the exposure conditions (including exposure received level) at which responses did or did not occur. This provides the most readily applicable data with which to develop exposure-response functions that explicitly consider key aspect of contextual responses.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i/>
          <w:noProof/>
          <w:sz w:val="24"/>
          <w:szCs w:val="24"/>
          <w:lang/>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2019a)</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used recurrent event survival analysis to determine relationship between exposure dose (</w:t>
      </w:r>
      <w:proofErr w:type="spellStart"/>
      <w:r w:rsidRPr="00DA225E">
        <w:rPr>
          <w:rFonts w:ascii="Times New Roman" w:hAnsi="Times New Roman" w:cs="Times New Roman"/>
          <w:sz w:val="24"/>
          <w:szCs w:val="24"/>
        </w:rPr>
        <w:t>cSEL</w:t>
      </w:r>
      <w:proofErr w:type="spellEnd"/>
      <w:r w:rsidRPr="00DA225E">
        <w:rPr>
          <w:rFonts w:ascii="Times New Roman" w:hAnsi="Times New Roman" w:cs="Times New Roman"/>
          <w:sz w:val="24"/>
          <w:szCs w:val="24"/>
        </w:rPr>
        <w:t xml:space="preserve">) and response probability for different response severity, individual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state, and source-animal range. </w:t>
      </w:r>
    </w:p>
    <w:p w14:paraId="5AFBF557" w14:textId="06F8F2EF"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Third, given limitations in the underlying empirical data and the relative spatial and temporal scales being considered, a deliberately coarse probability function is justified. While even more limited data sets than those available for blue whale response probability to sonar have been used to derive continuous and explicit probability functions (see continuous exposure-response functions in this study, for reference), a different approach is taken here. The presumption behind smooth response probability functions is that a given increase in exposure level equals a corresponding increase in response probability, often with resolutions to fractions of a dB or percentage. For blue whales, certain key variables, such as the physical range over which exposures occur, were not systematically and experimentally tested. Further, while the full blue whale data set </w:t>
      </w:r>
      <w:r w:rsidR="00DA225E" w:rsidRPr="00DA225E">
        <w:rPr>
          <w:rFonts w:ascii="Times New Roman" w:hAnsi="Times New Roman" w:cs="Times New Roman"/>
          <w:sz w:val="24"/>
          <w:szCs w:val="24"/>
        </w:rPr>
        <w:t>analyzed</w:t>
      </w:r>
      <w:r w:rsidRPr="00DA225E">
        <w:rPr>
          <w:rFonts w:ascii="Times New Roman" w:hAnsi="Times New Roman" w:cs="Times New Roman"/>
          <w:sz w:val="24"/>
          <w:szCs w:val="24"/>
        </w:rPr>
        <w:t xml:space="preserve"> by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i/>
          <w:noProof/>
          <w:sz w:val="24"/>
          <w:szCs w:val="24"/>
          <w:lang/>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2019a)</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exceeds 40 whales, there are limited samples in certain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states (e.g., non-feeding, surface feeding), meaning they necessarily need to be combined. </w:t>
      </w:r>
    </w:p>
    <w:p w14:paraId="0EFFED11"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In light of the above observations, a deliberately coarse approach was taken in this study to derive context-dependent response functions. The empirical data from the SOCAL-BRS blue whale studies was applied, where available, to identify response probabilities of low, moderate, </w:t>
      </w:r>
      <w:r w:rsidRPr="00DA225E">
        <w:rPr>
          <w:rFonts w:ascii="Times New Roman" w:hAnsi="Times New Roman" w:cs="Times New Roman"/>
          <w:sz w:val="24"/>
          <w:szCs w:val="24"/>
        </w:rPr>
        <w:lastRenderedPageBreak/>
        <w:t>and high response probability, with additional data on ambient noise, hearing and auditory fatigue used to define very low and very high response probabilities at the extreme lower and upper ends of response functions. A total of five response percentage levels were envisioned (1, 10, 50, 90, 99% response probabilities), using: ambient noise levels to define the lowest probability; empirical response data to determine intermediate probabilities; and available noise exposure criteria on auditory fatigue to determine the highest probabilities. In practice, the empirical response probabilities for some contextual conditions fail to reach 90% or even 50% response probability, even at the highest received levels (</w:t>
      </w:r>
      <w:proofErr w:type="gramStart"/>
      <w:r w:rsidRPr="00DA225E">
        <w:rPr>
          <w:rFonts w:ascii="Times New Roman" w:hAnsi="Times New Roman" w:cs="Times New Roman"/>
          <w:sz w:val="24"/>
          <w:szCs w:val="24"/>
        </w:rPr>
        <w:t>i.e.</w:t>
      </w:r>
      <w:proofErr w:type="gramEnd"/>
      <w:r w:rsidRPr="00DA225E">
        <w:rPr>
          <w:rFonts w:ascii="Times New Roman" w:hAnsi="Times New Roman" w:cs="Times New Roman"/>
          <w:sz w:val="24"/>
          <w:szCs w:val="24"/>
        </w:rPr>
        <w:t xml:space="preserve"> response curves reached an asymptote). </w:t>
      </w:r>
    </w:p>
    <w:p w14:paraId="0B364C38" w14:textId="3C9D390A"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Four distinct contextual conditions were defined, differentiated by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state (deep-feeding; non-deep-feeding, </w:t>
      </w:r>
      <w:proofErr w:type="gramStart"/>
      <w:r w:rsidRPr="00DA225E">
        <w:rPr>
          <w:rFonts w:ascii="Times New Roman" w:hAnsi="Times New Roman" w:cs="Times New Roman"/>
          <w:sz w:val="24"/>
          <w:szCs w:val="24"/>
        </w:rPr>
        <w:t>i.e.</w:t>
      </w:r>
      <w:proofErr w:type="gramEnd"/>
      <w:r w:rsidRPr="00DA225E">
        <w:rPr>
          <w:rFonts w:ascii="Times New Roman" w:hAnsi="Times New Roman" w:cs="Times New Roman"/>
          <w:sz w:val="24"/>
          <w:szCs w:val="24"/>
        </w:rPr>
        <w:t xml:space="preserve"> all other states) and source-whale range (near, i.e. ≤ 1 km; far, i.e. &gt; 1 km). Given the limited available data, these were collapsed into three contexts, under the assumption that being in the most sensitive state (deep feeding) far from the source was comparable to being in another state but close to the source. The three resulting contexts were: 1) deep-feeding, near; 2) deep-feeding, far, and</w:t>
      </w:r>
      <w:r w:rsidRPr="00DA225E">
        <w:rPr>
          <w:rFonts w:ascii="Times New Roman" w:hAnsi="Times New Roman" w:cs="Times New Roman"/>
          <w:i/>
          <w:iCs/>
          <w:sz w:val="24"/>
          <w:szCs w:val="24"/>
        </w:rPr>
        <w:t xml:space="preserve"> </w:t>
      </w:r>
      <w:r w:rsidRPr="00DA225E">
        <w:rPr>
          <w:rFonts w:ascii="Times New Roman" w:hAnsi="Times New Roman" w:cs="Times New Roman"/>
          <w:sz w:val="24"/>
          <w:szCs w:val="24"/>
        </w:rPr>
        <w:t>other states, near; and 3) other states, far (Fig</w:t>
      </w:r>
      <w:r w:rsidR="00B228B8">
        <w:rPr>
          <w:rFonts w:ascii="Times New Roman" w:hAnsi="Times New Roman" w:cs="Times New Roman"/>
          <w:sz w:val="24"/>
          <w:szCs w:val="24"/>
          <w:lang/>
        </w:rPr>
        <w:t>.</w:t>
      </w:r>
      <w:r w:rsidRPr="00DA225E">
        <w:rPr>
          <w:rFonts w:ascii="Times New Roman" w:hAnsi="Times New Roman" w:cs="Times New Roman"/>
          <w:sz w:val="24"/>
          <w:szCs w:val="24"/>
        </w:rPr>
        <w:t xml:space="preserve"> S</w:t>
      </w:r>
      <w:r w:rsidR="00B228B8">
        <w:rPr>
          <w:rFonts w:ascii="Times New Roman" w:hAnsi="Times New Roman" w:cs="Times New Roman"/>
          <w:sz w:val="24"/>
          <w:szCs w:val="24"/>
          <w:lang/>
        </w:rPr>
        <w:t>4</w:t>
      </w:r>
      <w:r w:rsidRPr="00DA225E">
        <w:rPr>
          <w:rFonts w:ascii="Times New Roman" w:hAnsi="Times New Roman" w:cs="Times New Roman"/>
          <w:sz w:val="24"/>
          <w:szCs w:val="24"/>
        </w:rPr>
        <w:t xml:space="preserve">). Response probabilities from the available data indicate decreasing relative sensitivity from context 1 to 3. In order to reflect differences in potential magnitude of responses, probabilistic functions were determined for each of these three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contexts for moderate response severity (scores 4-6), as well as high response severity (scores 7-9). Both median predictions and the values associated with upper confidence intervals were determined, to account for statistical variance in the underlying event survival analyses. This results in four total response functions for each context: 1) moderate response severity, median predictions; 2) moderate response </w:t>
      </w:r>
      <w:r w:rsidRPr="00DA225E">
        <w:rPr>
          <w:rFonts w:ascii="Times New Roman" w:hAnsi="Times New Roman" w:cs="Times New Roman"/>
          <w:sz w:val="24"/>
          <w:szCs w:val="24"/>
        </w:rPr>
        <w:lastRenderedPageBreak/>
        <w:t>severity, upper confidence interval of predictions; 3) high response severity, median predictions; 4) high response severity, upper confidence interval of predictions.</w:t>
      </w:r>
    </w:p>
    <w:p w14:paraId="3D16A5CF" w14:textId="77777777" w:rsidR="00861533" w:rsidRPr="00DA225E" w:rsidRDefault="00861533" w:rsidP="00890401">
      <w:pPr>
        <w:spacing w:line="48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4116"/>
        <w:gridCol w:w="1701"/>
        <w:gridCol w:w="1701"/>
      </w:tblGrid>
      <w:tr w:rsidR="00861533" w:rsidRPr="00DA225E" w14:paraId="3F77C6EA" w14:textId="77777777" w:rsidTr="00DA225E">
        <w:trPr>
          <w:trHeight w:val="556"/>
          <w:jc w:val="center"/>
        </w:trPr>
        <w:tc>
          <w:tcPr>
            <w:tcW w:w="4116" w:type="dxa"/>
            <w:tcMar>
              <w:left w:w="108" w:type="dxa"/>
              <w:right w:w="57" w:type="dxa"/>
            </w:tcMar>
            <w:vAlign w:val="center"/>
          </w:tcPr>
          <w:p w14:paraId="28E3C926" w14:textId="77777777" w:rsidR="00861533" w:rsidRPr="00DA225E" w:rsidRDefault="00861533" w:rsidP="00B61968">
            <w:pPr>
              <w:rPr>
                <w:rFonts w:ascii="Times New Roman" w:hAnsi="Times New Roman" w:cs="Times New Roman"/>
                <w:b/>
                <w:bCs/>
                <w:sz w:val="24"/>
                <w:szCs w:val="24"/>
              </w:rPr>
            </w:pPr>
            <w:r w:rsidRPr="00DA225E">
              <w:rPr>
                <w:rFonts w:ascii="Times New Roman" w:hAnsi="Times New Roman" w:cs="Times New Roman"/>
                <w:sz w:val="24"/>
                <w:szCs w:val="24"/>
              </w:rPr>
              <w:t xml:space="preserve">                                 </w:t>
            </w:r>
            <w:r w:rsidRPr="00DA225E">
              <w:rPr>
                <w:rFonts w:ascii="Times New Roman" w:hAnsi="Times New Roman" w:cs="Times New Roman"/>
                <w:b/>
                <w:bCs/>
                <w:sz w:val="24"/>
                <w:szCs w:val="24"/>
              </w:rPr>
              <w:t>Range from source</w:t>
            </w:r>
          </w:p>
          <w:p w14:paraId="45A86D34" w14:textId="0D908416" w:rsidR="00861533" w:rsidRPr="00DA225E" w:rsidRDefault="00DA225E" w:rsidP="00B61968">
            <w:pPr>
              <w:rPr>
                <w:rFonts w:ascii="Times New Roman" w:hAnsi="Times New Roman" w:cs="Times New Roman"/>
                <w:b/>
                <w:bCs/>
                <w:sz w:val="24"/>
                <w:szCs w:val="24"/>
              </w:rPr>
            </w:pPr>
            <w:r>
              <w:rPr>
                <w:rFonts w:ascii="Times New Roman" w:hAnsi="Times New Roman" w:cs="Times New Roman"/>
                <w:b/>
                <w:bCs/>
                <w:sz w:val="24"/>
                <w:szCs w:val="24"/>
              </w:rPr>
              <w:t>Behavior</w:t>
            </w:r>
            <w:r w:rsidR="00861533" w:rsidRPr="00DA225E">
              <w:rPr>
                <w:rFonts w:ascii="Times New Roman" w:hAnsi="Times New Roman" w:cs="Times New Roman"/>
                <w:b/>
                <w:bCs/>
                <w:sz w:val="24"/>
                <w:szCs w:val="24"/>
              </w:rPr>
              <w:t>al state</w:t>
            </w:r>
          </w:p>
        </w:tc>
        <w:tc>
          <w:tcPr>
            <w:tcW w:w="1701" w:type="dxa"/>
          </w:tcPr>
          <w:p w14:paraId="697238C8" w14:textId="77777777" w:rsidR="00861533" w:rsidRPr="00DA225E" w:rsidRDefault="00861533" w:rsidP="00DA225E">
            <w:pPr>
              <w:jc w:val="center"/>
              <w:rPr>
                <w:rFonts w:ascii="Times New Roman" w:hAnsi="Times New Roman" w:cs="Times New Roman"/>
                <w:i/>
                <w:iCs/>
                <w:sz w:val="24"/>
                <w:szCs w:val="24"/>
              </w:rPr>
            </w:pPr>
            <w:r w:rsidRPr="00DA225E">
              <w:rPr>
                <w:rFonts w:ascii="Times New Roman" w:hAnsi="Times New Roman" w:cs="Times New Roman"/>
                <w:i/>
                <w:iCs/>
                <w:sz w:val="24"/>
                <w:szCs w:val="24"/>
              </w:rPr>
              <w:t>Near (≤ 1 km)</w:t>
            </w:r>
          </w:p>
        </w:tc>
        <w:tc>
          <w:tcPr>
            <w:tcW w:w="1701" w:type="dxa"/>
          </w:tcPr>
          <w:p w14:paraId="5DF94924" w14:textId="77777777" w:rsidR="00861533" w:rsidRPr="00DA225E" w:rsidRDefault="00861533" w:rsidP="00DA225E">
            <w:pPr>
              <w:jc w:val="center"/>
              <w:rPr>
                <w:rFonts w:ascii="Times New Roman" w:hAnsi="Times New Roman" w:cs="Times New Roman"/>
                <w:i/>
                <w:iCs/>
                <w:sz w:val="24"/>
                <w:szCs w:val="24"/>
              </w:rPr>
            </w:pPr>
            <w:r w:rsidRPr="00DA225E">
              <w:rPr>
                <w:rFonts w:ascii="Times New Roman" w:hAnsi="Times New Roman" w:cs="Times New Roman"/>
                <w:i/>
                <w:iCs/>
                <w:sz w:val="24"/>
                <w:szCs w:val="24"/>
              </w:rPr>
              <w:t>Far (&gt; 1 km)</w:t>
            </w:r>
          </w:p>
        </w:tc>
      </w:tr>
      <w:tr w:rsidR="00861533" w:rsidRPr="00DA225E" w14:paraId="24F35530" w14:textId="77777777" w:rsidTr="00DA225E">
        <w:trPr>
          <w:trHeight w:val="1135"/>
          <w:jc w:val="center"/>
        </w:trPr>
        <w:tc>
          <w:tcPr>
            <w:tcW w:w="4116" w:type="dxa"/>
            <w:vAlign w:val="center"/>
          </w:tcPr>
          <w:p w14:paraId="7116DADE" w14:textId="77777777" w:rsidR="00861533" w:rsidRPr="00DA225E" w:rsidRDefault="00861533" w:rsidP="00B61968">
            <w:pPr>
              <w:rPr>
                <w:rFonts w:ascii="Times New Roman" w:hAnsi="Times New Roman" w:cs="Times New Roman"/>
                <w:i/>
                <w:iCs/>
                <w:sz w:val="24"/>
                <w:szCs w:val="24"/>
              </w:rPr>
            </w:pPr>
            <w:r w:rsidRPr="00DA225E">
              <w:rPr>
                <w:rFonts w:ascii="Times New Roman" w:hAnsi="Times New Roman" w:cs="Times New Roman"/>
                <w:i/>
                <w:iCs/>
                <w:sz w:val="24"/>
                <w:szCs w:val="24"/>
              </w:rPr>
              <w:t>Deep-feeding</w:t>
            </w:r>
          </w:p>
        </w:tc>
        <w:tc>
          <w:tcPr>
            <w:tcW w:w="1701" w:type="dxa"/>
            <w:shd w:val="clear" w:color="auto" w:fill="FF0000"/>
            <w:vAlign w:val="center"/>
          </w:tcPr>
          <w:p w14:paraId="14D76B04" w14:textId="77777777" w:rsidR="00861533" w:rsidRPr="00DA225E" w:rsidRDefault="00861533" w:rsidP="00B61968">
            <w:pPr>
              <w:jc w:val="center"/>
              <w:rPr>
                <w:rFonts w:ascii="Times New Roman" w:hAnsi="Times New Roman" w:cs="Times New Roman"/>
                <w:sz w:val="24"/>
                <w:szCs w:val="24"/>
              </w:rPr>
            </w:pPr>
            <w:r w:rsidRPr="00DA225E">
              <w:rPr>
                <w:rFonts w:ascii="Times New Roman" w:hAnsi="Times New Roman" w:cs="Times New Roman"/>
                <w:sz w:val="24"/>
                <w:szCs w:val="24"/>
              </w:rPr>
              <w:t>Context 1</w:t>
            </w:r>
          </w:p>
        </w:tc>
        <w:tc>
          <w:tcPr>
            <w:tcW w:w="1701" w:type="dxa"/>
            <w:shd w:val="clear" w:color="auto" w:fill="FF9900"/>
            <w:vAlign w:val="center"/>
          </w:tcPr>
          <w:p w14:paraId="27312F61" w14:textId="77777777" w:rsidR="00861533" w:rsidRPr="00DA225E" w:rsidRDefault="00861533" w:rsidP="00B61968">
            <w:pPr>
              <w:jc w:val="center"/>
              <w:rPr>
                <w:rFonts w:ascii="Times New Roman" w:hAnsi="Times New Roman" w:cs="Times New Roman"/>
                <w:sz w:val="24"/>
                <w:szCs w:val="24"/>
              </w:rPr>
            </w:pPr>
            <w:r w:rsidRPr="00DA225E">
              <w:rPr>
                <w:rFonts w:ascii="Times New Roman" w:hAnsi="Times New Roman" w:cs="Times New Roman"/>
                <w:sz w:val="24"/>
                <w:szCs w:val="24"/>
              </w:rPr>
              <w:t>Context 2</w:t>
            </w:r>
          </w:p>
        </w:tc>
      </w:tr>
      <w:tr w:rsidR="00861533" w:rsidRPr="00DA225E" w14:paraId="0E486E1D" w14:textId="77777777" w:rsidTr="00DA225E">
        <w:trPr>
          <w:trHeight w:val="1265"/>
          <w:jc w:val="center"/>
        </w:trPr>
        <w:tc>
          <w:tcPr>
            <w:tcW w:w="4116" w:type="dxa"/>
            <w:vAlign w:val="center"/>
          </w:tcPr>
          <w:p w14:paraId="2617C7B7" w14:textId="77777777" w:rsidR="00861533" w:rsidRPr="00DA225E" w:rsidRDefault="00861533" w:rsidP="00B61968">
            <w:pPr>
              <w:rPr>
                <w:rFonts w:ascii="Times New Roman" w:hAnsi="Times New Roman" w:cs="Times New Roman"/>
                <w:i/>
                <w:iCs/>
                <w:sz w:val="24"/>
                <w:szCs w:val="24"/>
              </w:rPr>
            </w:pPr>
            <w:r w:rsidRPr="00DA225E">
              <w:rPr>
                <w:rFonts w:ascii="Times New Roman" w:hAnsi="Times New Roman" w:cs="Times New Roman"/>
                <w:i/>
                <w:iCs/>
                <w:sz w:val="24"/>
                <w:szCs w:val="24"/>
              </w:rPr>
              <w:t>Other (non-deep-feeding)</w:t>
            </w:r>
          </w:p>
        </w:tc>
        <w:tc>
          <w:tcPr>
            <w:tcW w:w="1701" w:type="dxa"/>
            <w:shd w:val="clear" w:color="auto" w:fill="FF9900"/>
            <w:vAlign w:val="center"/>
          </w:tcPr>
          <w:p w14:paraId="79557093" w14:textId="77777777" w:rsidR="00861533" w:rsidRPr="00DA225E" w:rsidRDefault="00861533" w:rsidP="00B61968">
            <w:pPr>
              <w:jc w:val="center"/>
              <w:rPr>
                <w:rFonts w:ascii="Times New Roman" w:hAnsi="Times New Roman" w:cs="Times New Roman"/>
                <w:sz w:val="24"/>
                <w:szCs w:val="24"/>
              </w:rPr>
            </w:pPr>
            <w:r w:rsidRPr="00DA225E">
              <w:rPr>
                <w:rFonts w:ascii="Times New Roman" w:hAnsi="Times New Roman" w:cs="Times New Roman"/>
                <w:sz w:val="24"/>
                <w:szCs w:val="24"/>
              </w:rPr>
              <w:t>Context 2</w:t>
            </w:r>
          </w:p>
        </w:tc>
        <w:tc>
          <w:tcPr>
            <w:tcW w:w="1701" w:type="dxa"/>
            <w:shd w:val="clear" w:color="auto" w:fill="FFFF00"/>
            <w:vAlign w:val="center"/>
          </w:tcPr>
          <w:p w14:paraId="5DCCA0FA" w14:textId="77777777" w:rsidR="00861533" w:rsidRPr="00DA225E" w:rsidRDefault="00861533" w:rsidP="00B61968">
            <w:pPr>
              <w:jc w:val="center"/>
              <w:rPr>
                <w:rFonts w:ascii="Times New Roman" w:hAnsi="Times New Roman" w:cs="Times New Roman"/>
                <w:sz w:val="24"/>
                <w:szCs w:val="24"/>
              </w:rPr>
            </w:pPr>
            <w:r w:rsidRPr="00DA225E">
              <w:rPr>
                <w:rFonts w:ascii="Times New Roman" w:hAnsi="Times New Roman" w:cs="Times New Roman"/>
                <w:sz w:val="24"/>
                <w:szCs w:val="24"/>
              </w:rPr>
              <w:t>Context 3</w:t>
            </w:r>
          </w:p>
        </w:tc>
      </w:tr>
    </w:tbl>
    <w:p w14:paraId="0BB51978" w14:textId="77777777" w:rsidR="00861533" w:rsidRPr="00DA225E" w:rsidRDefault="00861533" w:rsidP="00890401">
      <w:pPr>
        <w:spacing w:line="480" w:lineRule="auto"/>
        <w:rPr>
          <w:rFonts w:ascii="Times New Roman" w:hAnsi="Times New Roman" w:cs="Times New Roman"/>
          <w:sz w:val="24"/>
          <w:szCs w:val="24"/>
        </w:rPr>
      </w:pPr>
    </w:p>
    <w:p w14:paraId="3D9EB648" w14:textId="0E56AF4A"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B228B8">
        <w:rPr>
          <w:rFonts w:ascii="Times New Roman" w:hAnsi="Times New Roman" w:cs="Times New Roman"/>
          <w:sz w:val="24"/>
          <w:szCs w:val="24"/>
          <w:lang/>
        </w:rPr>
        <w:t>4</w:t>
      </w:r>
      <w:r w:rsidRPr="00DA225E">
        <w:rPr>
          <w:rFonts w:ascii="Times New Roman" w:hAnsi="Times New Roman" w:cs="Times New Roman"/>
          <w:sz w:val="24"/>
          <w:szCs w:val="24"/>
        </w:rPr>
        <w:t xml:space="preserve">. Contextual conditions resulting from the combinations of different </w:t>
      </w:r>
      <w:r w:rsidR="00DA225E">
        <w:rPr>
          <w:rFonts w:ascii="Times New Roman" w:hAnsi="Times New Roman" w:cs="Times New Roman"/>
          <w:sz w:val="24"/>
          <w:szCs w:val="24"/>
        </w:rPr>
        <w:t>behavior</w:t>
      </w:r>
      <w:r w:rsidRPr="00DA225E">
        <w:rPr>
          <w:rFonts w:ascii="Times New Roman" w:hAnsi="Times New Roman" w:cs="Times New Roman"/>
          <w:sz w:val="24"/>
          <w:szCs w:val="24"/>
        </w:rPr>
        <w:t xml:space="preserve">al states and ranges from the sonar source. Background </w:t>
      </w:r>
      <w:r w:rsidR="00DA225E" w:rsidRPr="00DA225E">
        <w:rPr>
          <w:rFonts w:ascii="Times New Roman" w:hAnsi="Times New Roman" w:cs="Times New Roman"/>
          <w:sz w:val="24"/>
          <w:szCs w:val="24"/>
        </w:rPr>
        <w:t>color</w:t>
      </w:r>
      <w:r w:rsidRPr="00DA225E">
        <w:rPr>
          <w:rFonts w:ascii="Times New Roman" w:hAnsi="Times New Roman" w:cs="Times New Roman"/>
          <w:sz w:val="24"/>
          <w:szCs w:val="24"/>
        </w:rPr>
        <w:t xml:space="preserve"> warmth indicates the expected relative sensitivity in each context.</w:t>
      </w:r>
    </w:p>
    <w:p w14:paraId="0BA59F6F" w14:textId="77777777" w:rsidR="00B61968" w:rsidRPr="00DA225E" w:rsidRDefault="00B61968" w:rsidP="00890401">
      <w:pPr>
        <w:spacing w:line="480" w:lineRule="auto"/>
        <w:rPr>
          <w:rFonts w:ascii="Times New Roman" w:hAnsi="Times New Roman" w:cs="Times New Roman"/>
          <w:sz w:val="24"/>
          <w:szCs w:val="24"/>
        </w:rPr>
      </w:pPr>
    </w:p>
    <w:p w14:paraId="0CC3D003"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The following data sources were used to populate each of these four exposure-response functions: </w:t>
      </w:r>
    </w:p>
    <w:p w14:paraId="4F0FAD20" w14:textId="6B90526E" w:rsidR="00861533" w:rsidRPr="00DA225E" w:rsidRDefault="00861533" w:rsidP="00890401">
      <w:pPr>
        <w:tabs>
          <w:tab w:val="left" w:pos="360"/>
        </w:tabs>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 Estimated ambient noise in MFAS band (3-4 kHz) for sea state 3 conditions based on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{"citationItems":[{"id":"ITEM-1","itemData":{"DOI":"10.1121/1.1909155","ISSN":"0001-4966","abstract":"The results of recent ambient-noise investigationasf,t er appropriatep rocessing, are comparedo n the basiso f pressursep ectra in the frequencyb and 1 cpst o 20 kc. Severapl ossible sourceasr e discussetdo determinteh e mostp robable origino f the observendo ise. It is concludetdh at, in generalt,h e ambiennt oise is a compositoe f at least three overlappingc omponents: turbulent-pressfulurec tuations effectivein the band1 cpst o 100c ps; wind-dependennoti se fromb ubbles ands pray resultingp,r imarily, froms urface agita- tion,5 0 cpst o 20k c; and,i n manya reas, oceanticra ffc, 10c ps to 1000c ps. Spectrumch aracteristics ofe ach componenatn d of the compositaer e shownA. dditional sourcesin, cluding thoseo f intermittenat nd local effectsa,r e alsod iscussed. Guidelinefso r the estimatioonf noisele vels areg iven","author":[{"dropping-particle":"","family":"Wenz","given":"Gordon M.","non-dropping-particle":"","parse-names":false,"suffix":""}],"container-title":"The Journal of the Acoustical Society of America","id":"ITEM-1","issue":"12","issued":{"date-parts":[["1962"]]},"page":"1936-1956","title":"Acoustic ambient noise in the ocean: spectra and sources","type":"article-journal","volume":"34"},"uris":["http://www.mendeley.com/documents/?uuid=ca7dc887-7fe5-47d8-b3ab-321a3e760dc7"]}],"mendeley":{"formattedCitation":"(Wenz, 1962)","manualFormatting":"Wenz (1962)","plainTextFormattedCitation":"(Wenz, 1962)","previouslyFormattedCitation":"(Wenz, 1962)"},"properties":{"noteIndex":0},"schema":"https://github.com/citation-style-language/schema/raw/master/csl-citation.json"}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Wenz</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1962)</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which were used for 1% response probabilities;</w:t>
      </w:r>
    </w:p>
    <w:p w14:paraId="27717AA5" w14:textId="40A98740" w:rsidR="00861533" w:rsidRPr="00DA225E" w:rsidRDefault="00861533" w:rsidP="00890401">
      <w:pPr>
        <w:tabs>
          <w:tab w:val="left" w:pos="360"/>
        </w:tabs>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 Response probabilities from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i/>
          <w:noProof/>
          <w:sz w:val="24"/>
          <w:szCs w:val="24"/>
          <w:lang/>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2019a)</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event survival response functions directly applied at 10, 50, 90% levels. Where curves reached an asymptote below these values, received levels were determined at respective probability asymptotes;</w:t>
      </w:r>
    </w:p>
    <w:p w14:paraId="477AD37F" w14:textId="6AC78ED1" w:rsidR="00861533" w:rsidRPr="00DA225E" w:rsidRDefault="00861533" w:rsidP="00890401">
      <w:pPr>
        <w:tabs>
          <w:tab w:val="left" w:pos="360"/>
        </w:tabs>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 xml:space="preserve">- Because all functions in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i/>
          <w:noProof/>
          <w:sz w:val="24"/>
          <w:szCs w:val="24"/>
          <w:lang/>
        </w:rPr>
        <w:t xml:space="preserve"> </w:t>
      </w:r>
      <w:r w:rsidR="00B228B8">
        <w:rPr>
          <w:rFonts w:ascii="Times New Roman" w:hAnsi="Times New Roman" w:cs="Times New Roman"/>
          <w:noProof/>
          <w:sz w:val="24"/>
          <w:szCs w:val="24"/>
          <w:lang/>
        </w:rPr>
        <w:t>(</w:t>
      </w:r>
      <w:r w:rsidR="00B228B8" w:rsidRPr="00B228B8">
        <w:rPr>
          <w:rFonts w:ascii="Times New Roman" w:hAnsi="Times New Roman" w:cs="Times New Roman"/>
          <w:noProof/>
          <w:sz w:val="24"/>
          <w:szCs w:val="24"/>
        </w:rPr>
        <w:t>2019a)</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reached an asymptote below 90% response probabilities, these values were determined using estimates of effective quiet from humans exposed to various noise as 10 dB below estimates of TTS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{"citationItems":[{"id":"ITEM-1","itemData":{"DOI":"10.1121/1.380835","ISSN":"NA","abstract":"Effective quiet the highest SPL of a noise that will neither produce a significant temporary threshold shift (TTS) nor retard recovery from a TTS produced by a prior exposure to a higher level, is shown to be about 76 dB for octave bands of noise centered at 250 and 500 Hz, and around 68 dB for those centered at 1000, 2000, or 4000 Hz. On the other hand, a mean TTS2(TTS 2 min after exposure) of no greater than 10 dB at all frequencies from 500 to 5600 Hz is produced by a broadband noise whose octave-band spectrum falls off at — 5 dB per octave (“magenta” noise) and which has an A-weighted level of 90 dBA When the group mean TTS2is 10 dB, less than 10% of normal ears will show a TTS2of 20 dB. Therefore if a 20-dB TTS2is tolerable day after day with no adverse effects, the present industrial noise exposure limit of 8 h at 90 dB A would adequately protect more than 90% of exposed workers in noises with similarly falling spectra. Correction factors for unusual spectra should, however, be developed. © 1976 by the Acoustical Society of America","author":[{"dropping-particle":"","family":"Ward","given":"W Dixon","non-dropping-particle":"","parse-names":false,"suffix":""},{"dropping-particle":"","family":"Cushing","given":"E Marion","non-dropping-particle":"","parse-names":false,"suffix":""},{"dropping-particle":"","family":"Burns","given":"Edward M","non-dropping-particle":"","parse-names":false,"suffix":""}],"container-title":"Journal of the Acoustical Society of America","id":"ITEM-1","issue":"1","issued":{"date-parts":[["1976"]]},"page":"160-165","title":"Effective quiet and moderate TTS: Implications for noise exposure standards","type":"article-journal","volume":"59"},"uris":["http://www.mendeley.com/documents/?uuid=14394db6-0b45-4221-abd1-911825dc6e35"]}],"mendeley":{"formattedCitation":"(Ward &lt;i&gt;et al.&lt;/i&gt;, 1976)","plainTextFormattedCitation":"(Ward et al., 1976)","previouslyFormattedCitation":"(Ward &lt;i&gt;et al.&lt;/i&gt;, 1976)"},"properties":{"noteIndex":0},"schema":"https://github.com/citation-style-language/schema/raw/master/csl-citation.json"}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(Ward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1976)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w:t>
      </w:r>
    </w:p>
    <w:p w14:paraId="4E109AE2" w14:textId="7E735722" w:rsidR="00861533" w:rsidRPr="00DA225E" w:rsidRDefault="00861533" w:rsidP="00890401">
      <w:pPr>
        <w:tabs>
          <w:tab w:val="left" w:pos="360"/>
        </w:tabs>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 TTS onset estimates for ‘low-frequency cetaceans’ derived from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{"citationItems":[{"id":"ITEM-1","itemData":{"DOI":"10.1578/AM.45.2.2019.125","ISSN":"01675427","abstract":"This article evaluates Southall et al. (2007) in light of subsequent scientific findings and proposes revised noise exposure criteria to predict the onset of auditory effects in marine mammals. Estimated audiograms, weighting functions, and underwater noise exposure criteria for temporary and permanent auditory effects of noise are presented for six species groupings, including all marine mammal species. In-air criteria are also provided for amphibious species. Earlier marine mammal hearing groupings were reviewed and modified based on phylogenetic relationships and a comprehensive review of studies on hearing, auditory anatomy, and sound production. Auditory weighting functions are derived for each group; those proposed here are less flattened and closer to audiograms than the Southall et al. M-weightings. As in Southall et al., noise sources are categorized as either impulsive or non-impulsive, and criteria use multiple exposure metrics to account for different aspects of exposure. For continuous (non-impulsive) noise sources, exposure criteria are given in frequency-weighted sound exposure level (SEL, given in units relative to 1 μPa2-s or (20 μPa2)-s for water and air, respectively). Dual exposure metrics are provided for impulsive noise criteria, including frequency-weighted SEL and unweighted peak sound pressure level (SPL, given in units relative to 1 μPa or 20 μPa for water and air, respectively). Exposures exceeding the specified respective criteria level for any exposure metric are interpreted as resulting in predicted temporary threshold shift (TTS) or permanent threshold shift (PTS) onset. Scientific findings in the last decade provide substantial new insight but also underscore remaining challenges in deriving simple, broadly applicable quantitative exposure criteria for such diverse taxa. These criteria should be considered with regard to relevant caveats, recommended research, and with the expectation of subsequent revision.","author":[{"dropping-particle":"","family":"Southall","given":"Brandon L.","non-dropping-particle":"","parse-names":false,"suffix":""},{"dropping-particle":"","family":"Finneran","given":"James J.","non-dropping-particle":"","parse-names":false,"suffix":""},{"dropping-particle":"","family":"Reichmuth","given":"Colleen","non-dropping-particle":"","parse-names":false,"suffix":""},{"dropping-particle":"","family":"Nachtigall","given":"Paul E.","non-dropping-particle":"","parse-names":false,"suffix":""},{"dropping-particle":"","family":"Ketten","given":"Darlene R.","non-dropping-particle":"","parse-names":false,"suffix":""},{"dropping-particle":"","family":"Bowles","given":"Ann E.","non-dropping-particle":"","parse-names":false,"suffix":""},{"dropping-particle":"","family":"Ellison","given":"William T.","non-dropping-particle":"","parse-names":false,"suffix":""},{"dropping-particle":"","family":"Nowacek","given":"Douglas P.","non-dropping-particle":"","parse-names":false,"suffix":""},{"dropping-particle":"","family":"Tyack","given":"Peter L.","non-dropping-particle":"","parse-names":false,"suffix":""}],"container-title":"Aquatic Mammals","id":"ITEM-1","issue":"2","issued":{"date-parts":[["2019"]]},"page":"125-232","title":"Marine mammal noise exposure criteria: Updated scientific recommendations for residual hearing effects","type":"article-journal","volume":"45"},"uris":["http://www.mendeley.com/documents/?uuid=71d58dc9-ea54-4703-9728-46284df642eb"]}],"mendeley":{"formattedCitation":"(Southall &lt;i&gt;et al.&lt;/i&gt;, 2019b)","manualFormatting":"Southall et al. (2019b)","plainTextFormattedCitation":"(Southall et al., 2019b)","previouslyFormattedCitation":"(Southall &lt;i&gt;et al.&lt;/i&gt;, 2019b)"},"properties":{"noteIndex":0},"schema":"https://github.com/citation-style-language/schema/raw/master/csl-citation.json"}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2019b)</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w:t>
      </w:r>
    </w:p>
    <w:p w14:paraId="5E338708" w14:textId="28042307" w:rsidR="00861533" w:rsidRPr="00DA225E" w:rsidRDefault="00861533" w:rsidP="00890401">
      <w:pPr>
        <w:tabs>
          <w:tab w:val="left" w:pos="360"/>
        </w:tabs>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All received level values were converted to root mean square (RMS) values in order to match Navy received level (RL) model estimates of exposure (as well as 1/3-octave ambient noise levels). RMS values were estimated by subtracting 10 dB from </w:t>
      </w:r>
      <w:proofErr w:type="spellStart"/>
      <w:r w:rsidRPr="00DA225E">
        <w:rPr>
          <w:rFonts w:ascii="Times New Roman" w:hAnsi="Times New Roman" w:cs="Times New Roman"/>
          <w:sz w:val="24"/>
          <w:szCs w:val="24"/>
        </w:rPr>
        <w:t>cSEL</w:t>
      </w:r>
      <w:proofErr w:type="spellEnd"/>
      <w:r w:rsidRPr="00DA225E">
        <w:rPr>
          <w:rFonts w:ascii="Times New Roman" w:hAnsi="Times New Roman" w:cs="Times New Roman"/>
          <w:sz w:val="24"/>
          <w:szCs w:val="24"/>
        </w:rPr>
        <w:t xml:space="preserve"> values, which effectively assumes 10 MFAS pings (1 s each) received at max level.</w:t>
      </w:r>
      <w:r w:rsidR="00E709E4" w:rsidRPr="00DA225E">
        <w:rPr>
          <w:rFonts w:ascii="Times New Roman" w:hAnsi="Times New Roman" w:cs="Times New Roman"/>
          <w:sz w:val="24"/>
          <w:szCs w:val="24"/>
        </w:rPr>
        <w:t xml:space="preserve"> </w:t>
      </w:r>
      <w:r w:rsidRPr="00DA225E">
        <w:rPr>
          <w:rFonts w:ascii="Times New Roman" w:hAnsi="Times New Roman" w:cs="Times New Roman"/>
          <w:sz w:val="24"/>
          <w:szCs w:val="24"/>
        </w:rPr>
        <w:t xml:space="preserve">Response probabilities for each of the four functions are given below, with the basis of RL estimates for each </w:t>
      </w:r>
      <w:r w:rsidR="00DA225E">
        <w:rPr>
          <w:rFonts w:ascii="Times New Roman" w:hAnsi="Times New Roman" w:cs="Times New Roman"/>
          <w:sz w:val="24"/>
          <w:szCs w:val="24"/>
        </w:rPr>
        <w:t>behavior</w:t>
      </w:r>
      <w:r w:rsidRPr="00DA225E">
        <w:rPr>
          <w:rFonts w:ascii="Times New Roman" w:hAnsi="Times New Roman" w:cs="Times New Roman"/>
          <w:sz w:val="24"/>
          <w:szCs w:val="24"/>
        </w:rPr>
        <w:t>al state/range context.</w:t>
      </w:r>
    </w:p>
    <w:p w14:paraId="75DDB6EF" w14:textId="77777777" w:rsidR="00B61968" w:rsidRPr="00DA225E" w:rsidRDefault="00B61968">
      <w:pPr>
        <w:rPr>
          <w:rFonts w:ascii="Times New Roman" w:hAnsi="Times New Roman" w:cs="Times New Roman"/>
          <w:sz w:val="24"/>
          <w:szCs w:val="24"/>
        </w:rPr>
      </w:pPr>
      <w:r w:rsidRPr="00DA225E">
        <w:rPr>
          <w:rFonts w:ascii="Times New Roman" w:hAnsi="Times New Roman" w:cs="Times New Roman"/>
          <w:sz w:val="24"/>
          <w:szCs w:val="24"/>
        </w:rPr>
        <w:br w:type="page"/>
      </w:r>
    </w:p>
    <w:p w14:paraId="3F59C9FD" w14:textId="45BCC4FB"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Exposure-Response Function 1: Moderate response severity, median predictions</w:t>
      </w:r>
    </w:p>
    <w:p w14:paraId="72A6D33D" w14:textId="77777777" w:rsidR="00861533" w:rsidRPr="00DA225E" w:rsidRDefault="00861533" w:rsidP="00890401">
      <w:pPr>
        <w:tabs>
          <w:tab w:val="left" w:pos="360"/>
        </w:tabs>
        <w:spacing w:line="480" w:lineRule="auto"/>
        <w:ind w:left="720" w:hanging="720"/>
        <w:jc w:val="center"/>
        <w:rPr>
          <w:rFonts w:ascii="Times New Roman" w:hAnsi="Times New Roman" w:cs="Times New Roman"/>
          <w:sz w:val="24"/>
          <w:szCs w:val="24"/>
        </w:rPr>
      </w:pPr>
      <w:r w:rsidRPr="00DA225E">
        <w:rPr>
          <w:rFonts w:ascii="Times New Roman" w:hAnsi="Times New Roman" w:cs="Times New Roman"/>
          <w:noProof/>
          <w:sz w:val="24"/>
          <w:szCs w:val="24"/>
        </w:rPr>
        <w:drawing>
          <wp:inline distT="0" distB="0" distL="0" distR="0" wp14:anchorId="5DD201B7" wp14:editId="5C98B706">
            <wp:extent cx="5403850" cy="345019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2745" cy="3455878"/>
                    </a:xfrm>
                    <a:prstGeom prst="rect">
                      <a:avLst/>
                    </a:prstGeom>
                    <a:noFill/>
                    <a:ln>
                      <a:noFill/>
                    </a:ln>
                  </pic:spPr>
                </pic:pic>
              </a:graphicData>
            </a:graphic>
          </wp:inline>
        </w:drawing>
      </w:r>
    </w:p>
    <w:p w14:paraId="0502AD52"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Exposure-Response Function 2: moderate response severity, upper confidence intervals </w:t>
      </w:r>
    </w:p>
    <w:p w14:paraId="52BFD477" w14:textId="77777777" w:rsidR="00861533" w:rsidRPr="00DA225E" w:rsidRDefault="00861533" w:rsidP="00890401">
      <w:pPr>
        <w:spacing w:line="480" w:lineRule="auto"/>
        <w:rPr>
          <w:rFonts w:ascii="Times New Roman" w:hAnsi="Times New Roman" w:cs="Times New Roman"/>
          <w:b/>
          <w:bCs/>
          <w:i/>
          <w:iCs/>
          <w:sz w:val="24"/>
          <w:szCs w:val="24"/>
        </w:rPr>
      </w:pPr>
      <w:r w:rsidRPr="00DA225E">
        <w:rPr>
          <w:rFonts w:ascii="Times New Roman" w:hAnsi="Times New Roman" w:cs="Times New Roman"/>
          <w:b/>
          <w:i/>
          <w:noProof/>
          <w:sz w:val="24"/>
          <w:szCs w:val="24"/>
        </w:rPr>
        <w:drawing>
          <wp:inline distT="0" distB="0" distL="0" distR="0" wp14:anchorId="69B25072" wp14:editId="78C51B7F">
            <wp:extent cx="5486400" cy="3517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17900"/>
                    </a:xfrm>
                    <a:prstGeom prst="rect">
                      <a:avLst/>
                    </a:prstGeom>
                    <a:noFill/>
                    <a:ln>
                      <a:noFill/>
                    </a:ln>
                  </pic:spPr>
                </pic:pic>
              </a:graphicData>
            </a:graphic>
          </wp:inline>
        </w:drawing>
      </w:r>
    </w:p>
    <w:p w14:paraId="49C60EE3"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Exposure-Response Function 3: high response severity, median predictions</w:t>
      </w:r>
    </w:p>
    <w:p w14:paraId="4E360610" w14:textId="77777777" w:rsidR="00861533" w:rsidRPr="00DA225E" w:rsidRDefault="00861533" w:rsidP="00890401">
      <w:pPr>
        <w:spacing w:line="480" w:lineRule="auto"/>
        <w:rPr>
          <w:rFonts w:ascii="Times New Roman" w:hAnsi="Times New Roman" w:cs="Times New Roman"/>
          <w:b/>
          <w:bCs/>
          <w:i/>
          <w:iCs/>
          <w:sz w:val="24"/>
          <w:szCs w:val="24"/>
        </w:rPr>
      </w:pPr>
      <w:r w:rsidRPr="00DA225E">
        <w:rPr>
          <w:rFonts w:ascii="Times New Roman" w:hAnsi="Times New Roman" w:cs="Times New Roman"/>
          <w:b/>
          <w:i/>
          <w:noProof/>
          <w:sz w:val="24"/>
          <w:szCs w:val="24"/>
        </w:rPr>
        <w:drawing>
          <wp:inline distT="0" distB="0" distL="0" distR="0" wp14:anchorId="3CBCE188" wp14:editId="3524E4C4">
            <wp:extent cx="548640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14:paraId="0993675C"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Exposure-Response Function 4: high response severity, upper confidence intervals</w:t>
      </w:r>
    </w:p>
    <w:p w14:paraId="76F0FC33" w14:textId="77777777" w:rsidR="00861533" w:rsidRPr="00DA225E" w:rsidRDefault="00861533" w:rsidP="00890401">
      <w:pPr>
        <w:spacing w:line="480" w:lineRule="auto"/>
        <w:ind w:left="1440" w:hanging="1440"/>
        <w:rPr>
          <w:rFonts w:ascii="Times New Roman" w:hAnsi="Times New Roman" w:cs="Times New Roman"/>
          <w:b/>
          <w:bCs/>
          <w:sz w:val="24"/>
          <w:szCs w:val="24"/>
        </w:rPr>
      </w:pPr>
      <w:r w:rsidRPr="00DA225E">
        <w:rPr>
          <w:rFonts w:ascii="Times New Roman" w:hAnsi="Times New Roman" w:cs="Times New Roman"/>
          <w:b/>
          <w:noProof/>
          <w:sz w:val="24"/>
          <w:szCs w:val="24"/>
        </w:rPr>
        <w:drawing>
          <wp:inline distT="0" distB="0" distL="0" distR="0" wp14:anchorId="6368FC2E" wp14:editId="4D9F6DC4">
            <wp:extent cx="5480050" cy="316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050" cy="3162300"/>
                    </a:xfrm>
                    <a:prstGeom prst="rect">
                      <a:avLst/>
                    </a:prstGeom>
                    <a:noFill/>
                    <a:ln>
                      <a:noFill/>
                    </a:ln>
                  </pic:spPr>
                </pic:pic>
              </a:graphicData>
            </a:graphic>
          </wp:inline>
        </w:drawing>
      </w:r>
    </w:p>
    <w:bookmarkEnd w:id="0"/>
    <w:p w14:paraId="466B39EA" w14:textId="77777777"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lastRenderedPageBreak/>
        <w:t>Continuous exposure-response functions</w:t>
      </w:r>
    </w:p>
    <w:p w14:paraId="1A99925D" w14:textId="3446652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Continuous exposure-response functions for Sound Pressure Level (SPL) and range from source were developed using the approach described in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{"citationItems":[{"id":"ITEM-1","itemData":{"author":[{"dropping-particle":"","family":"Miller","given":"Patrick J. O.","non-dropping-particle":"","parse-names":false,"suffix":""},{"dropping-particle":"","family":"Antunes","given":"Ricardo N.","non-dropping-particle":"","parse-names":false,"suffix":""},{"dropping-particle":"","family":"Wensveen","given":"Paul J.","non-dropping-particle":"","parse-names":false,"suffix":""},{"dropping-particle":"","family":"Samarra","given":"Filipa I. P.","non-dropping-particle":"","parse-names":false,"suffix":""},{"dropping-particle":"","family":"Alves","given":"Ana Catarina","non-dropping-particle":"","parse-names":false,"suffix":""},{"dropping-particle":"","family":"Tyack","given":"Peter L.","non-dropping-particle":"","parse-names":false,"suffix":""},{"dropping-particle":"","family":"Kvadsheim","given":"Petter H.","non-dropping-particle":"","parse-names":false,"suffix":""},{"dropping-particle":"","family":"Kleivane","given":"Lars","non-dropping-particle":"","parse-names":false,"suffix":""},{"dropping-particle":"","family":"Lam","given":"Frans-Peter A.","non-dropping-particle":"","parse-names":false,"suffix":""},{"dropping-particle":"","family":"Ainslie","given":"Michael A.","non-dropping-particle":"","parse-names":false,"suffix":""},{"dropping-particle":"","family":"Thomas","given":"Len","non-dropping-particle":"","parse-names":false,"suffix":""}],"container-title":"The Journal of the Acoustical Society of America","id":"ITEM-1","issued":{"date-parts":[["2014"]]},"page":"975","title":"Dose-response relationships for the onset of avoidance of sonar by free-ranging killer whales","type":"article-journal","volume":"135"},"uris":["http://www.mendeley.com/documents/?uuid=9d7dfbd1-ede2-45ae-a262-6a3b9cd0a492"]}],"mendeley":{"formattedCitation":"(Miller &lt;i&gt;et al.&lt;/i&gt;, 2014)","manualFormatting":"Miller et al. (2014)","plainTextFormattedCitation":"(Miller et al., 2014)","previouslyFormattedCitation":"(Miller &lt;i&gt;et al.&lt;/i&gt;, 2014)"},"properties":{"noteIndex":0},"schema":"https://github.com/citation-style-language/schema/raw/master/csl-citation.json"}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Miller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2014)</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Under the approach a process component models the noise exposure threshold at which individuals are expected to show a response, including an individual random effect and the effects of previous exposure and source type (mid-frequency active sonar, MFAS, or pseudorandom noise, PRN). The importance of the two fixed effects is assessed using Gibbs Variable Selection and the model is refitted without either of the factors if their inclusion is not supported. An observation model then links modelled thresholds with observed values, accounting for measurement error.</w:t>
      </w:r>
    </w:p>
    <w:p w14:paraId="1090B0C9" w14:textId="762F86D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For the first continuous exposure-response function for SPL, the model was informed by the SPL received by an animal at the time of an identified response or, for individuals that did not respond, the maximum SPL received during the experiment. For consistency with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{"citationItems":[{"id":"ITEM-1","itemData":{"author":[{"dropping-particle":"","family":"Miller","given":"Patrick J. O.","non-dropping-particle":"","parse-names":false,"suffix":""},{"dropping-particle":"","family":"Antunes","given":"Ricardo N.","non-dropping-particle":"","parse-names":false,"suffix":""},{"dropping-particle":"","family":"Wensveen","given":"Paul J.","non-dropping-particle":"","parse-names":false,"suffix":""},{"dropping-particle":"","family":"Samarra","given":"Filipa I. P.","non-dropping-particle":"","parse-names":false,"suffix":""},{"dropping-particle":"","family":"Alves","given":"Ana Catarina","non-dropping-particle":"","parse-names":false,"suffix":""},{"dropping-particle":"","family":"Tyack","given":"Peter L.","non-dropping-particle":"","parse-names":false,"suffix":""},{"dropping-particle":"","family":"Kvadsheim","given":"Petter H.","non-dropping-particle":"","parse-names":false,"suffix":""},{"dropping-particle":"","family":"Kleivane","given":"Lars","non-dropping-particle":"","parse-names":false,"suffix":""},{"dropping-particle":"","family":"Lam","given":"Frans-Peter A.","non-dropping-particle":"","parse-names":false,"suffix":""},{"dropping-particle":"","family":"Ainslie","given":"Michael A.","non-dropping-particle":"","parse-names":false,"suffix":""},{"dropping-particle":"","family":"Thomas","given":"Len","non-dropping-particle":"","parse-names":false,"suffix":""}],"container-title":"The Journal of the Acoustical Society of America","id":"ITEM-1","issued":{"date-parts":[["2014"]]},"page":"975","title":"Dose-response relationships for the onset of avoidance of sonar by free-ranging killer whales","type":"article-journal","volume":"135"},"uris":["http://www.mendeley.com/documents/?uuid=9d7dfbd1-ede2-45ae-a262-6a3b9cd0a492"]}],"mendeley":{"formattedCitation":"(Miller &lt;i&gt;et al.&lt;/i&gt;, 2014)","manualFormatting":"Miller et al. (2014)","plainTextFormattedCitation":"(Miller et al., 2014)","previouslyFormattedCitation":"(Miller &lt;i&gt;et al.&lt;/i&gt;, 2014)"},"properties":{"noteIndex":0},"schema":"https://github.com/citation-style-language/schema/raw/master/csl-citation.json"}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Miller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2014)</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it was assumed that no animal would respond at levels ≤ 60 dB re 1 </w:t>
      </w:r>
      <w:proofErr w:type="spellStart"/>
      <w:r w:rsidRPr="00DA225E">
        <w:rPr>
          <w:rFonts w:ascii="Times New Roman" w:hAnsi="Times New Roman" w:cs="Times New Roman"/>
          <w:sz w:val="24"/>
          <w:szCs w:val="24"/>
        </w:rPr>
        <w:t>μPa</w:t>
      </w:r>
      <w:proofErr w:type="spellEnd"/>
      <w:r w:rsidRPr="00DA225E">
        <w:rPr>
          <w:rFonts w:ascii="Times New Roman" w:hAnsi="Times New Roman" w:cs="Times New Roman"/>
          <w:sz w:val="24"/>
          <w:szCs w:val="24"/>
        </w:rPr>
        <w:t xml:space="preserve"> and all would respond at levels ≥ 200 dB re 1 </w:t>
      </w:r>
      <w:proofErr w:type="spellStart"/>
      <w:r w:rsidRPr="00DA225E">
        <w:rPr>
          <w:rFonts w:ascii="Times New Roman" w:hAnsi="Times New Roman" w:cs="Times New Roman"/>
          <w:sz w:val="24"/>
          <w:szCs w:val="24"/>
        </w:rPr>
        <w:t>μPa</w:t>
      </w:r>
      <w:proofErr w:type="spellEnd"/>
      <w:r w:rsidRPr="00DA225E">
        <w:rPr>
          <w:rFonts w:ascii="Times New Roman" w:hAnsi="Times New Roman" w:cs="Times New Roman"/>
          <w:sz w:val="24"/>
          <w:szCs w:val="24"/>
        </w:rPr>
        <w:t xml:space="preserve">. The model was fitted using JAGS run from R (package </w:t>
      </w:r>
      <w:proofErr w:type="spellStart"/>
      <w:r w:rsidRPr="00DA225E">
        <w:rPr>
          <w:rFonts w:ascii="Times New Roman" w:hAnsi="Times New Roman" w:cs="Times New Roman"/>
          <w:sz w:val="24"/>
          <w:szCs w:val="24"/>
        </w:rPr>
        <w:t>runjags</w:t>
      </w:r>
      <w:proofErr w:type="spellEnd"/>
      <w:r w:rsidRPr="00DA225E">
        <w:rPr>
          <w:rFonts w:ascii="Times New Roman" w:hAnsi="Times New Roman" w:cs="Times New Roman"/>
          <w:sz w:val="24"/>
          <w:szCs w:val="24"/>
        </w:rPr>
        <w:t xml:space="preserve"> version 2.0.4;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{"citationItems":[{"id":"ITEM-1","itemData":{"author":[{"dropping-particle":"","family":"Denwood","given":"Matthew J.","non-dropping-particle":"","parse-names":false,"suffix":""}],"container-title":"Journal of Statistical Software","id":"ITEM-1","issue":"9","issued":{"date-parts":[["2016"]]},"page":"1-25","title":"runjags: An R package providing interface utilities, model templates, parallel computing methods and additional distributions for MCMC models in JAGS","type":"article-journal","volume":"71"},"uris":["http://www.mendeley.com/documents/?uuid=4206be60-e964-4183-9e90-2a517d767da1"]}],"mendeley":{"formattedCitation":"(Denwood, 2016)","manualFormatting":"Denwood, 2016)","plainTextFormattedCitation":"(Denwood, 2016)","previouslyFormattedCitation":"(Denwood, 2016)"},"properties":{"noteIndex":0},"schema":"https://github.com/citation-style-language/schema/raw/master/csl-citation.json"}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Denwood, 2016)</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using the same priors as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{"citationItems":[{"id":"ITEM-1","itemData":{"author":[{"dropping-particle":"","family":"Miller","given":"Patrick J. O.","non-dropping-particle":"","parse-names":false,"suffix":""},{"dropping-particle":"","family":"Antunes","given":"Ricardo N.","non-dropping-particle":"","parse-names":false,"suffix":""},{"dropping-particle":"","family":"Wensveen","given":"Paul J.","non-dropping-particle":"","parse-names":false,"suffix":""},{"dropping-particle":"","family":"Samarra","given":"Filipa I. P.","non-dropping-particle":"","parse-names":false,"suffix":""},{"dropping-particle":"","family":"Alves","given":"Ana Catarina","non-dropping-particle":"","parse-names":false,"suffix":""},{"dropping-particle":"","family":"Tyack","given":"Peter L.","non-dropping-particle":"","parse-names":false,"suffix":""},{"dropping-particle":"","family":"Kvadsheim","given":"Petter H.","non-dropping-particle":"","parse-names":false,"suffix":""},{"dropping-particle":"","family":"Kleivane","given":"Lars","non-dropping-particle":"","parse-names":false,"suffix":""},{"dropping-particle":"","family":"Lam","given":"Frans-Peter A.","non-dropping-particle":"","parse-names":false,"suffix":""},{"dropping-particle":"","family":"Ainslie","given":"Michael A.","non-dropping-particle":"","parse-names":false,"suffix":""},{"dropping-particle":"","family":"Thomas","given":"Len","non-dropping-particle":"","parse-names":false,"suffix":""}],"container-title":"The Journal of the Acoustical Society of America","id":"ITEM-1","issued":{"date-parts":[["2014"]]},"page":"975","title":"Dose-response relationships for the onset of avoidance of sonar by free-ranging killer whales","type":"article-journal","volume":"135"},"uris":["http://www.mendeley.com/documents/?uuid=9d7dfbd1-ede2-45ae-a262-6a3b9cd0a492"]}],"mendeley":{"formattedCitation":"(Miller &lt;i&gt;et al.&lt;/i&gt;, 2014)","manualFormatting":"Miller et al. (2014)","plainTextFormattedCitation":"(Miller et al., 2014)","previouslyFormattedCitation":"(Miller &lt;i&gt;et al.&lt;/i&gt;, 2014)"},"properties":{"noteIndex":0},"schema":"https://github.com/citation-style-language/schema/raw/master/csl-citation.json"}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Miller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2014)</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Markov Chain Monte Carlo (MCMC) algorithms were iterated until convergence of the parameters. We ran three parallel chains, starting at different initial values, and discarded the first 50,000 iterations as burn-in. Convergence was assessed by visually inspecting trace and density plots, and confirmed by checking that the Brooks-Gelman-Rubin diagnostic fell below 1.1 and that the Monte Carlo error was less than 5% of the sample standard deviation. We also ensured that effective sample size was greater than 400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Lunn","given":"D.","non-dropping-particle":"","parse-names":false,"suffix":""},{"dropping-particle":"","family":"Jackson","given":"C.","non-dropping-particle":"","parse-names":false,"suffix":""},{"dropping-particle":"","family":"Best","given":"N.","non-dropping-particle":"","parse-names":false,"suffix":""},{"dropping-particle":"","family":"Thomas","given":"A.","non-dropping-particle":"","parse-names":false,"suffix":""},{"dropping-particle":"","family":"Spiegelhalter","given":"D.","non-dropping-particle":"","parse-names":false,"suffix":""}],"id":"ITEM-1","issued":{"date-parts":[["2013"]]},"publisher":"Chapman &amp; Hall/CRC","publisher-place":"Boca Raton, Florida, USA","title":"The BUGS book: A practical introduction to Bayesian analysis","type":"book"},"uris":["http://www.mendeley.com/documents/?uuid=c0e3fc6d-4172-4c82-9c2d-308dbf6dcbb3"]}],"mendeley":{"formattedCitation":"(Lunn &lt;i&gt;et al.&lt;/i&gt;, 2013)","plainTextFormattedCitation":"(Lunn et al., 2013)","previouslyFormattedCitation":"(Lunn &lt;i&gt;et al.&lt;/i&gt;, 2013)"},"properties":{"noteIndex":0},"schema":"https://github.com/citation-style-language/schema/raw/master/csl-citation.json"}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(Lunn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2013)</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For ease of computation and storage, we thinned the chains, retaining one in every 10 iterations.</w:t>
      </w:r>
    </w:p>
    <w:p w14:paraId="19DACEF0" w14:textId="0B240CFB"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lastRenderedPageBreak/>
        <w:t xml:space="preserve">For the second continuous ER function for range from the noise source, we extracted the distance (in km) between an individual and the source at the time of an identified response or, for individuals that did not respond, the minimum distance reached during the experiment. We used the same approach described above for SPL, adapted to account for the fact that the probability of responding is expected to decline for increasing values of range from the source. Moreover, because we could not assume that all animals would respond at 0 distance from the source, we set the lower bound to an arbitrary negative value (-5 km) and estimated a probability of response ≤ 1 at range = 0 km. The upper bound was set at 20 km, which was deemed sufficiently high since no individual in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Pr="00DA225E">
        <w:rPr>
          <w:rFonts w:ascii="Times New Roman" w:hAnsi="Times New Roman" w:cs="Times New Roman"/>
          <w:sz w:val="24"/>
          <w:szCs w:val="24"/>
        </w:rPr>
        <w:fldChar w:fldCharType="separate"/>
      </w:r>
      <w:r w:rsidRPr="00DA225E">
        <w:rPr>
          <w:rFonts w:ascii="Times New Roman" w:hAnsi="Times New Roman" w:cs="Times New Roman"/>
          <w:noProof/>
          <w:sz w:val="24"/>
          <w:szCs w:val="24"/>
        </w:rPr>
        <w:t xml:space="preserve">Southall </w:t>
      </w:r>
      <w:r w:rsidRPr="00B228B8">
        <w:rPr>
          <w:rFonts w:ascii="Times New Roman" w:hAnsi="Times New Roman" w:cs="Times New Roman"/>
          <w:i/>
          <w:iCs/>
          <w:noProof/>
          <w:sz w:val="24"/>
          <w:szCs w:val="24"/>
        </w:rPr>
        <w:t xml:space="preserve">et al. </w:t>
      </w:r>
      <w:r w:rsidR="00E709E4" w:rsidRPr="00DA225E">
        <w:rPr>
          <w:rFonts w:ascii="Times New Roman" w:hAnsi="Times New Roman" w:cs="Times New Roman"/>
          <w:noProof/>
          <w:sz w:val="24"/>
          <w:szCs w:val="24"/>
        </w:rPr>
        <w:t>(</w:t>
      </w:r>
      <w:r w:rsidRPr="00DA225E">
        <w:rPr>
          <w:rFonts w:ascii="Times New Roman" w:hAnsi="Times New Roman" w:cs="Times New Roman"/>
          <w:noProof/>
          <w:sz w:val="24"/>
          <w:szCs w:val="24"/>
        </w:rPr>
        <w:t>2019a)</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responded beyond 2.8 km. The standard deviations for the individual random effect and for within-whale variation both had a uniform prior </w:t>
      </w:r>
      <w:proofErr w:type="gramStart"/>
      <w:r w:rsidRPr="00DA225E">
        <w:rPr>
          <w:rFonts w:ascii="Times New Roman" w:hAnsi="Times New Roman" w:cs="Times New Roman"/>
          <w:i/>
          <w:iCs/>
          <w:sz w:val="24"/>
          <w:szCs w:val="24"/>
        </w:rPr>
        <w:t>U</w:t>
      </w:r>
      <w:r w:rsidRPr="00DA225E">
        <w:rPr>
          <w:rFonts w:ascii="Times New Roman" w:hAnsi="Times New Roman" w:cs="Times New Roman"/>
          <w:sz w:val="24"/>
          <w:szCs w:val="24"/>
        </w:rPr>
        <w:t>(</w:t>
      </w:r>
      <w:proofErr w:type="gramEnd"/>
      <w:r w:rsidRPr="00DA225E">
        <w:rPr>
          <w:rFonts w:ascii="Times New Roman" w:hAnsi="Times New Roman" w:cs="Times New Roman"/>
          <w:sz w:val="24"/>
          <w:szCs w:val="24"/>
        </w:rPr>
        <w:t xml:space="preserve">0, 5). The fixed effects for previous exposure and source type had Normal prior </w:t>
      </w:r>
      <w:r w:rsidRPr="00DA225E">
        <w:rPr>
          <w:rFonts w:ascii="Times New Roman" w:hAnsi="Times New Roman" w:cs="Times New Roman"/>
          <w:i/>
          <w:iCs/>
          <w:sz w:val="24"/>
          <w:szCs w:val="24"/>
        </w:rPr>
        <w:t>N</w:t>
      </w:r>
      <w:r w:rsidRPr="00DA225E">
        <w:rPr>
          <w:rFonts w:ascii="Times New Roman" w:hAnsi="Times New Roman" w:cs="Times New Roman"/>
          <w:sz w:val="24"/>
          <w:szCs w:val="24"/>
        </w:rPr>
        <w:t xml:space="preserve">(0, 10), and Gibbs Variable Selection was used as in </w:t>
      </w:r>
      <w:r w:rsidR="00B228B8"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{"citationItems":[{"id":"ITEM-1","itemData":{"author":[{"dropping-particle":"","family":"Miller","given":"Patrick J. O.","non-dropping-particle":"","parse-names":false,"suffix":""},{"dropping-particle":"","family":"Antunes","given":"Ricardo N.","non-dropping-particle":"","parse-names":false,"suffix":""},{"dropping-particle":"","family":"Wensveen","given":"Paul J.","non-dropping-particle":"","parse-names":false,"suffix":""},{"dropping-particle":"","family":"Samarra","given":"Filipa I. P.","non-dropping-particle":"","parse-names":false,"suffix":""},{"dropping-particle":"","family":"Alves","given":"Ana Catarina","non-dropping-particle":"","parse-names":false,"suffix":""},{"dropping-particle":"","family":"Tyack","given":"Peter L.","non-dropping-particle":"","parse-names":false,"suffix":""},{"dropping-particle":"","family":"Kvadsheim","given":"Petter H.","non-dropping-particle":"","parse-names":false,"suffix":""},{"dropping-particle":"","family":"Kleivane","given":"Lars","non-dropping-particle":"","parse-names":false,"suffix":""},{"dropping-particle":"","family":"Lam","given":"Frans-Peter A.","non-dropping-particle":"","parse-names":false,"suffix":""},{"dropping-particle":"","family":"Ainslie","given":"Michael A.","non-dropping-particle":"","parse-names":false,"suffix":""},{"dropping-particle":"","family":"Thomas","given":"Len","non-dropping-particle":"","parse-names":false,"suffix":""}],"container-title":"The Journal of the Acoustical Society of America","id":"ITEM-1","issued":{"date-parts":[["2014"]]},"page":"975","title":"Dose-response relationships for the onset of avoidance of sonar by free-ranging killer whales","type":"article-journal","volume":"135"},"uris":["http://www.mendeley.com/documents/?uuid=9d7dfbd1-ede2-45ae-a262-6a3b9cd0a492"]}],"mendeley":{"formattedCitation":"(Miller &lt;i&gt;et al.&lt;/i&gt;, 2014)","manualFormatting":"Miller et al. (2014)","plainTextFormattedCitation":"(Miller et al., 2014)","previouslyFormattedCitation":"(Miller &lt;i&gt;et al.&lt;/i&gt;, 2014)"},"properties":{"noteIndex":0},"schema":"https://github.com/citation-style-language/schema/raw/master/csl-citation.json"}</w:instrText>
      </w:r>
      <w:r w:rsidR="00B228B8"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Miller </w:t>
      </w:r>
      <w:r w:rsidR="00B228B8" w:rsidRPr="00B228B8">
        <w:rPr>
          <w:rFonts w:ascii="Times New Roman" w:hAnsi="Times New Roman" w:cs="Times New Roman"/>
          <w:i/>
          <w:noProof/>
          <w:sz w:val="24"/>
          <w:szCs w:val="24"/>
        </w:rPr>
        <w:t>et al.</w:t>
      </w:r>
      <w:r w:rsidR="00B228B8">
        <w:rPr>
          <w:rFonts w:ascii="Times New Roman" w:hAnsi="Times New Roman" w:cs="Times New Roman"/>
          <w:noProof/>
          <w:sz w:val="24"/>
          <w:szCs w:val="24"/>
          <w:lang/>
        </w:rPr>
        <w:t xml:space="preserve"> (</w:t>
      </w:r>
      <w:r w:rsidR="00B228B8" w:rsidRPr="00B228B8">
        <w:rPr>
          <w:rFonts w:ascii="Times New Roman" w:hAnsi="Times New Roman" w:cs="Times New Roman"/>
          <w:noProof/>
          <w:sz w:val="24"/>
          <w:szCs w:val="24"/>
        </w:rPr>
        <w:t>2014)</w:t>
      </w:r>
      <w:r w:rsidR="00B228B8" w:rsidRPr="00DA225E">
        <w:rPr>
          <w:rFonts w:ascii="Times New Roman" w:hAnsi="Times New Roman" w:cs="Times New Roman"/>
          <w:sz w:val="24"/>
          <w:szCs w:val="24"/>
        </w:rPr>
        <w:fldChar w:fldCharType="end"/>
      </w:r>
      <w:r w:rsidRPr="00DA225E">
        <w:rPr>
          <w:rFonts w:ascii="Times New Roman" w:hAnsi="Times New Roman" w:cs="Times New Roman"/>
          <w:sz w:val="24"/>
          <w:szCs w:val="24"/>
        </w:rPr>
        <w:t>. The measurement error for the observation model was set at 0.5 km, as a conservative estimate of the uncertainty on whale locations during CEEs.</w:t>
      </w:r>
    </w:p>
    <w:p w14:paraId="7A417E56" w14:textId="77777777"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br w:type="page"/>
      </w:r>
    </w:p>
    <w:p w14:paraId="3D98AF70" w14:textId="4FF73F9D" w:rsidR="00861533" w:rsidRPr="00DA225E" w:rsidRDefault="00B228B8" w:rsidP="00890401">
      <w:pPr>
        <w:spacing w:line="480" w:lineRule="auto"/>
        <w:rPr>
          <w:rFonts w:ascii="Times New Roman" w:hAnsi="Times New Roman" w:cs="Times New Roman"/>
          <w:b/>
          <w:bCs/>
          <w:sz w:val="24"/>
          <w:szCs w:val="24"/>
        </w:rPr>
      </w:pPr>
      <w:bookmarkStart w:id="1" w:name="_Hlk55547931"/>
      <w:r>
        <w:rPr>
          <w:rFonts w:ascii="Times New Roman" w:hAnsi="Times New Roman" w:cs="Times New Roman"/>
          <w:b/>
          <w:bCs/>
          <w:sz w:val="24"/>
          <w:szCs w:val="24"/>
          <w:lang/>
        </w:rPr>
        <w:lastRenderedPageBreak/>
        <w:t>Supplementary Methods S3</w:t>
      </w:r>
      <w:bookmarkEnd w:id="1"/>
      <w:r w:rsidR="00890401" w:rsidRPr="00DA225E">
        <w:rPr>
          <w:rFonts w:ascii="Times New Roman" w:hAnsi="Times New Roman" w:cs="Times New Roman"/>
          <w:b/>
          <w:bCs/>
          <w:sz w:val="24"/>
          <w:szCs w:val="24"/>
        </w:rPr>
        <w:t xml:space="preserve">. </w:t>
      </w:r>
      <w:r w:rsidR="00861533" w:rsidRPr="00DA225E">
        <w:rPr>
          <w:rFonts w:ascii="Times New Roman" w:hAnsi="Times New Roman" w:cs="Times New Roman"/>
          <w:b/>
          <w:bCs/>
          <w:sz w:val="24"/>
          <w:szCs w:val="24"/>
        </w:rPr>
        <w:t>Additional details of disturbance simulations</w:t>
      </w:r>
    </w:p>
    <w:p w14:paraId="258F41D1" w14:textId="77777777" w:rsidR="00861533" w:rsidRPr="00DA225E" w:rsidRDefault="00861533" w:rsidP="00890401">
      <w:pPr>
        <w:spacing w:line="480" w:lineRule="auto"/>
        <w:rPr>
          <w:rFonts w:ascii="Times New Roman" w:hAnsi="Times New Roman" w:cs="Times New Roman"/>
          <w:i/>
          <w:iCs/>
          <w:sz w:val="24"/>
          <w:szCs w:val="24"/>
        </w:rPr>
      </w:pPr>
    </w:p>
    <w:p w14:paraId="03DCB882" w14:textId="77777777"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t>Noise propagation</w:t>
      </w:r>
    </w:p>
    <w:p w14:paraId="459F14F0"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In the absence of information on the noise fields around sonar sources in realistic training operations, a simplistic, spherical noise propagation model used to determine the ranges (</w:t>
      </w:r>
      <w:r w:rsidRPr="00DA225E">
        <w:rPr>
          <w:rFonts w:ascii="Times New Roman" w:hAnsi="Times New Roman" w:cs="Times New Roman"/>
          <w:i/>
          <w:iCs/>
          <w:sz w:val="24"/>
          <w:szCs w:val="24"/>
        </w:rPr>
        <w:t>R</w:t>
      </w:r>
      <w:r w:rsidRPr="00DA225E">
        <w:rPr>
          <w:rFonts w:ascii="Times New Roman" w:hAnsi="Times New Roman" w:cs="Times New Roman"/>
          <w:sz w:val="24"/>
          <w:szCs w:val="24"/>
        </w:rPr>
        <w:t xml:space="preserve">) at which received levels (RL) of interest were reached, given the source level (SL). Specifically:  </w:t>
      </w:r>
    </w:p>
    <w:p w14:paraId="02F3207F"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RL = SL – 20∙log(</w:t>
      </w:r>
      <w:r w:rsidRPr="00DA225E">
        <w:rPr>
          <w:rFonts w:ascii="Times New Roman" w:hAnsi="Times New Roman" w:cs="Times New Roman"/>
          <w:i/>
          <w:iCs/>
          <w:sz w:val="24"/>
          <w:szCs w:val="24"/>
        </w:rPr>
        <w:t>R</w:t>
      </w:r>
      <w:r w:rsidRPr="00DA225E">
        <w:rPr>
          <w:rFonts w:ascii="Times New Roman" w:hAnsi="Times New Roman" w:cs="Times New Roman"/>
          <w:sz w:val="24"/>
          <w:szCs w:val="24"/>
        </w:rPr>
        <w:t>) – α∙</w:t>
      </w:r>
      <w:r w:rsidRPr="00DA225E">
        <w:rPr>
          <w:rFonts w:ascii="Times New Roman" w:hAnsi="Times New Roman" w:cs="Times New Roman"/>
          <w:i/>
          <w:iCs/>
          <w:sz w:val="24"/>
          <w:szCs w:val="24"/>
        </w:rPr>
        <w:t>R</w:t>
      </w:r>
      <w:r w:rsidRPr="00DA225E">
        <w:rPr>
          <w:rFonts w:ascii="Times New Roman" w:hAnsi="Times New Roman" w:cs="Times New Roman"/>
          <w:sz w:val="24"/>
          <w:szCs w:val="24"/>
        </w:rPr>
        <w:t xml:space="preserve">, </w:t>
      </w:r>
    </w:p>
    <w:p w14:paraId="44324B6E" w14:textId="4B7ECA84"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sz w:val="24"/>
          <w:szCs w:val="24"/>
        </w:rPr>
        <w:t xml:space="preserve">where α is an absorption of 0.2 dB/km for a nominal frequency of 3 kHz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{"citationItems":[{"id":"ITEM-1","itemData":{"author":[{"dropping-particle":"","family":"Au","given":"W W L","non-dropping-particle":"","parse-names":false,"suffix":""},{"dropping-particle":"","family":"Hastings","given":"M C","non-dropping-particle":"","parse-names":false,"suffix":""}],"id":"ITEM-1","issued":{"date-parts":[["2008"]]},"publisher":"Springer Verlag","publisher-place":"New York, NY","title":"Principles of Marine Bioacoustics","type":"book"},"uris":["http://www.mendeley.com/documents/?uuid=cce46aac-79e7-42fb-80fd-241352b7db42"]}],"mendeley":{"formattedCitation":"(Au and Hastings, 2008)","plainTextFormattedCitation":"(Au and Hastings, 2008)","previouslyFormattedCitation":"(Au and Hastings, 2008)"},"properties":{"noteIndex":0},"schema":"https://github.com/citation-style-language/schema/raw/master/csl-citation.json"}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(Au and Hastings, 2008)</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w:t>
      </w:r>
    </w:p>
    <w:p w14:paraId="588483A4" w14:textId="77777777" w:rsidR="00861533" w:rsidRPr="00DA225E" w:rsidRDefault="00861533" w:rsidP="00890401">
      <w:pPr>
        <w:spacing w:line="480" w:lineRule="auto"/>
        <w:rPr>
          <w:rFonts w:ascii="Times New Roman" w:hAnsi="Times New Roman" w:cs="Times New Roman"/>
          <w:i/>
          <w:iCs/>
          <w:sz w:val="24"/>
          <w:szCs w:val="24"/>
        </w:rPr>
      </w:pPr>
      <w:r w:rsidRPr="00DA225E">
        <w:rPr>
          <w:rFonts w:ascii="Times New Roman" w:hAnsi="Times New Roman" w:cs="Times New Roman"/>
          <w:i/>
          <w:iCs/>
          <w:sz w:val="24"/>
          <w:szCs w:val="24"/>
        </w:rPr>
        <w:t>Individual ranging pattern</w:t>
      </w:r>
    </w:p>
    <w:p w14:paraId="6EBB22C3"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The area covered (</w:t>
      </w:r>
      <w:r w:rsidRPr="00DA225E">
        <w:rPr>
          <w:rFonts w:ascii="Times New Roman" w:hAnsi="Times New Roman" w:cs="Times New Roman"/>
          <w:i/>
          <w:iCs/>
          <w:sz w:val="24"/>
          <w:szCs w:val="24"/>
        </w:rPr>
        <w:t>A</w:t>
      </w:r>
      <w:r w:rsidRPr="00DA225E">
        <w:rPr>
          <w:rFonts w:ascii="Times New Roman" w:hAnsi="Times New Roman" w:cs="Times New Roman"/>
          <w:sz w:val="24"/>
          <w:szCs w:val="24"/>
        </w:rPr>
        <w:t xml:space="preserve">) in the random day sampled at each replicate was taken to represent the ranging pattern of an individual on that day. We assumed this area was entirely contained within the 100 km x 100 km location used in the simulations. For simplicity, we also assumed that such area was circular, with a radius corresponding to </w:t>
      </w:r>
      <w:r w:rsidRPr="00DA225E">
        <w:rPr>
          <w:rFonts w:ascii="Times New Roman" w:hAnsi="Times New Roman" w:cs="Times New Roman"/>
          <w:i/>
          <w:iCs/>
          <w:sz w:val="24"/>
          <w:szCs w:val="24"/>
        </w:rPr>
        <w:t>r</w:t>
      </w:r>
      <w:r w:rsidRPr="00DA225E">
        <w:rPr>
          <w:rFonts w:ascii="Times New Roman" w:hAnsi="Times New Roman" w:cs="Times New Roman"/>
          <w:sz w:val="24"/>
          <w:szCs w:val="24"/>
        </w:rPr>
        <w:t xml:space="preserve"> = √</w:t>
      </w:r>
      <w:r w:rsidRPr="00DA225E">
        <w:rPr>
          <w:rFonts w:ascii="Times New Roman" w:hAnsi="Times New Roman" w:cs="Times New Roman"/>
          <w:i/>
          <w:iCs/>
          <w:sz w:val="24"/>
          <w:szCs w:val="24"/>
        </w:rPr>
        <w:t>A</w:t>
      </w:r>
      <w:r w:rsidRPr="00DA225E">
        <w:rPr>
          <w:rFonts w:ascii="Times New Roman" w:hAnsi="Times New Roman" w:cs="Times New Roman"/>
          <w:sz w:val="24"/>
          <w:szCs w:val="24"/>
        </w:rPr>
        <w:t xml:space="preserve">/π, and that the animal was using it uniformly. </w:t>
      </w:r>
    </w:p>
    <w:p w14:paraId="1C317A2B" w14:textId="24657D3E" w:rsidR="00861533" w:rsidRPr="00DA225E" w:rsidRDefault="00DA225E" w:rsidP="00890401">
      <w:pPr>
        <w:spacing w:line="480" w:lineRule="auto"/>
        <w:rPr>
          <w:rFonts w:ascii="Times New Roman" w:hAnsi="Times New Roman" w:cs="Times New Roman"/>
          <w:i/>
          <w:iCs/>
          <w:sz w:val="24"/>
          <w:szCs w:val="24"/>
        </w:rPr>
      </w:pPr>
      <w:r>
        <w:rPr>
          <w:rFonts w:ascii="Times New Roman" w:hAnsi="Times New Roman" w:cs="Times New Roman"/>
          <w:i/>
          <w:iCs/>
          <w:sz w:val="24"/>
          <w:szCs w:val="24"/>
        </w:rPr>
        <w:t>Behavior</w:t>
      </w:r>
      <w:r w:rsidR="00861533" w:rsidRPr="00DA225E">
        <w:rPr>
          <w:rFonts w:ascii="Times New Roman" w:hAnsi="Times New Roman" w:cs="Times New Roman"/>
          <w:i/>
          <w:iCs/>
          <w:sz w:val="24"/>
          <w:szCs w:val="24"/>
        </w:rPr>
        <w:t>al responses</w:t>
      </w:r>
    </w:p>
    <w:p w14:paraId="312889AE" w14:textId="18068E9C"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Discrete exposure functions were constructed assuming SPL levels for up to 10 sonar pings at the maximum received level, based on the maximum number of exposures within 1 dB of the highest received level observed in individual CEEs in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Pr="00DA225E">
        <w:rPr>
          <w:rFonts w:ascii="Times New Roman" w:hAnsi="Times New Roman" w:cs="Times New Roman"/>
          <w:sz w:val="24"/>
          <w:szCs w:val="24"/>
        </w:rPr>
        <w:fldChar w:fldCharType="separate"/>
      </w:r>
      <w:r w:rsidRPr="00DA225E">
        <w:rPr>
          <w:rFonts w:ascii="Times New Roman" w:hAnsi="Times New Roman" w:cs="Times New Roman"/>
          <w:noProof/>
          <w:sz w:val="24"/>
          <w:szCs w:val="24"/>
        </w:rPr>
        <w:t xml:space="preserve">Southall </w:t>
      </w:r>
      <w:r w:rsidRPr="00B228B8">
        <w:rPr>
          <w:rFonts w:ascii="Times New Roman" w:hAnsi="Times New Roman" w:cs="Times New Roman"/>
          <w:i/>
          <w:iCs/>
          <w:noProof/>
          <w:sz w:val="24"/>
          <w:szCs w:val="24"/>
        </w:rPr>
        <w:t xml:space="preserve">et al. </w:t>
      </w:r>
      <w:r w:rsidR="00E709E4" w:rsidRPr="00DA225E">
        <w:rPr>
          <w:rFonts w:ascii="Times New Roman" w:hAnsi="Times New Roman" w:cs="Times New Roman"/>
          <w:noProof/>
          <w:sz w:val="24"/>
          <w:szCs w:val="24"/>
        </w:rPr>
        <w:t>(</w:t>
      </w:r>
      <w:r w:rsidRPr="00DA225E">
        <w:rPr>
          <w:rFonts w:ascii="Times New Roman" w:hAnsi="Times New Roman" w:cs="Times New Roman"/>
          <w:noProof/>
          <w:sz w:val="24"/>
          <w:szCs w:val="24"/>
        </w:rPr>
        <w:t>2019a)</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This would correspond to an average duration of up to 6 minutes based on the sonar duty cycles used in CEEs with both simulated and operational Navy MFAS systems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2019a)","plainTextFormattedCitation":"(Southall et al., 2019a)","previouslyFormattedCitation":"(Southall &lt;i&gt;et al.&lt;/i&gt;, 2019a)"},"properties":{"noteIndex":0},"schema":"https://github.com/citation-style-language/schema/raw/master/csl-citation.json"}</w:instrText>
      </w:r>
      <w:r w:rsidRPr="00DA225E">
        <w:rPr>
          <w:rFonts w:ascii="Times New Roman" w:hAnsi="Times New Roman" w:cs="Times New Roman"/>
          <w:sz w:val="24"/>
          <w:szCs w:val="24"/>
        </w:rPr>
        <w:fldChar w:fldCharType="separate"/>
      </w:r>
      <w:r w:rsidR="00B228B8" w:rsidRPr="00B228B8">
        <w:rPr>
          <w:rFonts w:ascii="Times New Roman" w:hAnsi="Times New Roman" w:cs="Times New Roman"/>
          <w:noProof/>
          <w:sz w:val="24"/>
          <w:szCs w:val="24"/>
        </w:rPr>
        <w:t xml:space="preserve">(Southall </w:t>
      </w:r>
      <w:r w:rsidR="00B228B8" w:rsidRPr="00B228B8">
        <w:rPr>
          <w:rFonts w:ascii="Times New Roman" w:hAnsi="Times New Roman" w:cs="Times New Roman"/>
          <w:i/>
          <w:noProof/>
          <w:sz w:val="24"/>
          <w:szCs w:val="24"/>
        </w:rPr>
        <w:t>et al.</w:t>
      </w:r>
      <w:r w:rsidR="00B228B8" w:rsidRPr="00B228B8">
        <w:rPr>
          <w:rFonts w:ascii="Times New Roman" w:hAnsi="Times New Roman" w:cs="Times New Roman"/>
          <w:noProof/>
          <w:sz w:val="24"/>
          <w:szCs w:val="24"/>
        </w:rPr>
        <w:t>, 2019a)</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w:t>
      </w:r>
      <w:r w:rsidR="00E709E4" w:rsidRPr="00DA225E">
        <w:rPr>
          <w:rFonts w:ascii="Times New Roman" w:hAnsi="Times New Roman" w:cs="Times New Roman"/>
          <w:sz w:val="24"/>
          <w:szCs w:val="24"/>
        </w:rPr>
        <w:t xml:space="preserve">B. </w:t>
      </w:r>
      <w:r w:rsidRPr="00DA225E">
        <w:rPr>
          <w:rFonts w:ascii="Times New Roman" w:hAnsi="Times New Roman" w:cs="Times New Roman"/>
          <w:sz w:val="24"/>
          <w:szCs w:val="24"/>
        </w:rPr>
        <w:lastRenderedPageBreak/>
        <w:t xml:space="preserve">Southall, unpublished data). Therefore, intervals of 6-minute duration were used as the unit of time in which an individual could respond when exposed to the source (that is, a total of 240 intervals per day). </w:t>
      </w:r>
    </w:p>
    <w:p w14:paraId="7B36ABAE" w14:textId="3EE47E78"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For the continuous DR functions, because of how these functions were constructed, the time interval at which an individual could respond was 30 min, i.e. the typical experimental exposure duration in </w:t>
      </w:r>
      <w:r w:rsidRPr="00DA225E">
        <w:rPr>
          <w:rFonts w:ascii="Times New Roman" w:hAnsi="Times New Roman" w:cs="Times New Roman"/>
          <w:sz w:val="24"/>
          <w:szCs w:val="24"/>
        </w:rPr>
        <w:fldChar w:fldCharType="begin" w:fldLock="1"/>
      </w:r>
      <w:r w:rsidR="00B228B8">
        <w:rPr>
          <w:rFonts w:ascii="Times New Roman" w:hAnsi="Times New Roman" w:cs="Times New Roman"/>
          <w:sz w:val="24"/>
          <w:szCs w:val="24"/>
        </w:rPr>
        <w:instrText>ADDIN CSL_CITATION {"citationItems":[{"id":"ITEM-1","itemData":{"author":[{"dropping-particle":"","family":"Southall","given":"Brandon L.","non-dropping-particle":"","parse-names":false,"suffix":""},{"dropping-particle":"","family":"DeRuiter","given":"S. L.","non-dropping-particle":"","parse-names":false,"suffix":""},{"dropping-particle":"","family":"Friedlaender","given":"A.","non-dropping-particle":"","parse-names":false,"suffix":""},{"dropping-particle":"","family":"Stimpert","given":"A.K.","non-dropping-particle":"","parse-names":false,"suffix":""},{"dropping-particle":"","family":"Goldbogen","given":"J.A.","non-dropping-particle":"","parse-names":false,"suffix":""},{"dropping-particle":"","family":"Hazen","given":"E.","non-dropping-particle":"","parse-names":false,"suffix":""},{"dropping-particle":"","family":"Casey","given":"C.","non-dropping-particle":"","parse-names":false,"suffix":""},{"dropping-particle":"","family":"Fregosi","given":"S.","non-dropping-particle":"","parse-names":false,"suffix":""},{"dropping-particle":"","family":"Cade","given":"D.E.","non-dropping-particle":"","parse-names":false,"suffix":""},{"dropping-particle":"","family":"Allen","given":"A.N.","non-dropping-particle":"","parse-names":false,"suffix":""},{"dropping-particle":"","family":"Harris","given":"C.M.","non-dropping-particle":"","parse-names":false,"suffix":""},{"dropping-particle":"","family":"Schorr","given":"G.","non-dropping-particle":"","parse-names":false,"suffix":""},{"dropping-particle":"","family":"Moretti","given":"D.","non-dropping-particle":"","parse-names":false,"suffix":""},{"dropping-particle":"","family":"Guan","given":"S.","non-dropping-particle":"","parse-names":false,"suffix":""},{"dropping-particle":"","family":"Calambokidis","given":"J.","non-dropping-particle":"","parse-names":false,"suffix":""}],"container-title":"Journal of Experimental Biology","id":"ITEM-1","issued":{"date-parts":[["2019"]]},"page":"190637","title":"Behavioral responses of individual blue whales (&lt;i&gt;Balaenoptera musculus&lt;/i&gt;) to mid-frequency military sonar","type":"article-journal","volume":"222"},"uris":["http://www.mendeley.com/documents/?uuid=622b0e61-383a-4eae-b884-d72bf278a582"]}],"mendeley":{"formattedCitation":"(Southall &lt;i&gt;et al.&lt;/i&gt;, 2019a)","manualFormatting":"Southall et al. (2019a)","plainTextFormattedCitation":"(Southall et al., 2019a)","previouslyFormattedCitation":"(Southall &lt;i&gt;et al.&lt;/i&gt;, 2019a)"},"properties":{"noteIndex":0},"schema":"https://github.com/citation-style-language/schema/raw/master/csl-citation.json"}</w:instrText>
      </w:r>
      <w:r w:rsidRPr="00DA225E">
        <w:rPr>
          <w:rFonts w:ascii="Times New Roman" w:hAnsi="Times New Roman" w:cs="Times New Roman"/>
          <w:sz w:val="24"/>
          <w:szCs w:val="24"/>
        </w:rPr>
        <w:fldChar w:fldCharType="separate"/>
      </w:r>
      <w:r w:rsidR="00E709E4" w:rsidRPr="00DA225E">
        <w:rPr>
          <w:rFonts w:ascii="Times New Roman" w:hAnsi="Times New Roman" w:cs="Times New Roman"/>
          <w:noProof/>
          <w:sz w:val="24"/>
          <w:szCs w:val="24"/>
        </w:rPr>
        <w:t xml:space="preserve">Southall </w:t>
      </w:r>
      <w:r w:rsidR="00E709E4" w:rsidRPr="00B228B8">
        <w:rPr>
          <w:rFonts w:ascii="Times New Roman" w:hAnsi="Times New Roman" w:cs="Times New Roman"/>
          <w:i/>
          <w:iCs/>
          <w:noProof/>
          <w:sz w:val="24"/>
          <w:szCs w:val="24"/>
        </w:rPr>
        <w:t>et al.</w:t>
      </w:r>
      <w:r w:rsidR="00E709E4" w:rsidRPr="00DA225E">
        <w:rPr>
          <w:rFonts w:ascii="Times New Roman" w:hAnsi="Times New Roman" w:cs="Times New Roman"/>
          <w:noProof/>
          <w:sz w:val="24"/>
          <w:szCs w:val="24"/>
        </w:rPr>
        <w:t xml:space="preserve"> (2019a)</w:t>
      </w:r>
      <w:r w:rsidRPr="00DA225E">
        <w:rPr>
          <w:rFonts w:ascii="Times New Roman" w:hAnsi="Times New Roman" w:cs="Times New Roman"/>
          <w:sz w:val="24"/>
          <w:szCs w:val="24"/>
        </w:rPr>
        <w:fldChar w:fldCharType="end"/>
      </w:r>
      <w:r w:rsidRPr="00DA225E">
        <w:rPr>
          <w:rFonts w:ascii="Times New Roman" w:hAnsi="Times New Roman" w:cs="Times New Roman"/>
          <w:sz w:val="24"/>
          <w:szCs w:val="24"/>
        </w:rPr>
        <w:t xml:space="preserve">, resulting in 48 intervals within a day. </w:t>
      </w:r>
    </w:p>
    <w:p w14:paraId="7B651962"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 xml:space="preserve">We conservatively assumed that a foraging individual within the area exposed to a given range of RL had a probability of responding corresponding to the probability for the upper extreme of that range. For example, given SL = 235 dB re 1 </w:t>
      </w:r>
      <w:proofErr w:type="spellStart"/>
      <w:r w:rsidRPr="00DA225E">
        <w:rPr>
          <w:rFonts w:ascii="Times New Roman" w:hAnsi="Times New Roman" w:cs="Times New Roman"/>
          <w:sz w:val="24"/>
          <w:szCs w:val="24"/>
        </w:rPr>
        <w:t>μPa</w:t>
      </w:r>
      <w:proofErr w:type="spellEnd"/>
      <w:r w:rsidRPr="00DA225E">
        <w:rPr>
          <w:rFonts w:ascii="Times New Roman" w:hAnsi="Times New Roman" w:cs="Times New Roman"/>
          <w:sz w:val="24"/>
          <w:szCs w:val="24"/>
        </w:rPr>
        <w:t xml:space="preserve">, RL = 160 dB re 1 </w:t>
      </w:r>
      <w:proofErr w:type="spellStart"/>
      <w:r w:rsidRPr="00DA225E">
        <w:rPr>
          <w:rFonts w:ascii="Times New Roman" w:hAnsi="Times New Roman" w:cs="Times New Roman"/>
          <w:sz w:val="24"/>
          <w:szCs w:val="24"/>
        </w:rPr>
        <w:t>μPa</w:t>
      </w:r>
      <w:proofErr w:type="spellEnd"/>
      <w:r w:rsidRPr="00DA225E">
        <w:rPr>
          <w:rFonts w:ascii="Times New Roman" w:hAnsi="Times New Roman" w:cs="Times New Roman"/>
          <w:sz w:val="24"/>
          <w:szCs w:val="24"/>
        </w:rPr>
        <w:t xml:space="preserve"> at 5 km and RL = 145 dB re 1 </w:t>
      </w:r>
      <w:proofErr w:type="spellStart"/>
      <w:r w:rsidRPr="00DA225E">
        <w:rPr>
          <w:rFonts w:ascii="Times New Roman" w:hAnsi="Times New Roman" w:cs="Times New Roman"/>
          <w:sz w:val="24"/>
          <w:szCs w:val="24"/>
        </w:rPr>
        <w:t>μPa</w:t>
      </w:r>
      <w:proofErr w:type="spellEnd"/>
      <w:r w:rsidRPr="00DA225E">
        <w:rPr>
          <w:rFonts w:ascii="Times New Roman" w:hAnsi="Times New Roman" w:cs="Times New Roman"/>
          <w:sz w:val="24"/>
          <w:szCs w:val="24"/>
        </w:rPr>
        <w:t xml:space="preserve"> at 20 km; if the probability of responding is 0.9 at 160 dB and 0.35 at 145 dB, the probability of responding between 5 km and 20 km from the source was 0.9. </w:t>
      </w:r>
    </w:p>
    <w:p w14:paraId="08F16CB9" w14:textId="40810D14" w:rsidR="00BD77E6" w:rsidRPr="00F5652B" w:rsidRDefault="00BD77E6" w:rsidP="00BD77E6">
      <w:pPr>
        <w:spacing w:line="480" w:lineRule="auto"/>
        <w:rPr>
          <w:rFonts w:ascii="Times New Roman" w:hAnsi="Times New Roman" w:cs="Times New Roman"/>
          <w:i/>
          <w:iCs/>
          <w:sz w:val="24"/>
          <w:szCs w:val="24"/>
          <w:lang/>
        </w:rPr>
      </w:pPr>
      <w:r w:rsidRPr="00F5652B">
        <w:rPr>
          <w:rFonts w:ascii="Times New Roman" w:hAnsi="Times New Roman" w:cs="Times New Roman"/>
          <w:i/>
          <w:iCs/>
          <w:sz w:val="24"/>
          <w:szCs w:val="24"/>
          <w:lang/>
        </w:rPr>
        <w:t>Bioenergetic equations</w:t>
      </w:r>
    </w:p>
    <w:p w14:paraId="42141017" w14:textId="21A0635D" w:rsidR="00BD77E6" w:rsidRPr="00F5652B" w:rsidRDefault="00BD77E6" w:rsidP="00BD77E6">
      <w:pPr>
        <w:spacing w:line="480" w:lineRule="auto"/>
        <w:rPr>
          <w:rFonts w:ascii="Times New Roman" w:hAnsi="Times New Roman" w:cs="Times New Roman"/>
          <w:sz w:val="24"/>
          <w:szCs w:val="24"/>
          <w:lang/>
        </w:rPr>
      </w:pPr>
      <w:r w:rsidRPr="00F5652B">
        <w:rPr>
          <w:rFonts w:ascii="Times New Roman" w:hAnsi="Times New Roman" w:cs="Times New Roman"/>
          <w:sz w:val="24"/>
          <w:szCs w:val="24"/>
          <w:lang/>
        </w:rPr>
        <w:t xml:space="preserve">We estimated the theoretical gross energy acquired (kJ) on day </w:t>
      </w:r>
      <w:r w:rsidRPr="00F5652B">
        <w:rPr>
          <w:rFonts w:ascii="Times New Roman" w:hAnsi="Times New Roman" w:cs="Times New Roman"/>
          <w:i/>
          <w:iCs/>
          <w:sz w:val="24"/>
          <w:szCs w:val="24"/>
          <w:lang/>
        </w:rPr>
        <w:t xml:space="preserve">d </w:t>
      </w:r>
      <w:r w:rsidRPr="00F5652B">
        <w:rPr>
          <w:rFonts w:ascii="Times New Roman" w:hAnsi="Times New Roman" w:cs="Times New Roman"/>
          <w:sz w:val="24"/>
          <w:szCs w:val="24"/>
          <w:lang/>
        </w:rPr>
        <w:t>without disturbance</w:t>
      </w:r>
      <w:r w:rsidR="002C0DCD">
        <w:rPr>
          <w:rFonts w:ascii="Times New Roman" w:hAnsi="Times New Roman" w:cs="Times New Roman"/>
          <w:sz w:val="24"/>
          <w:szCs w:val="24"/>
          <w:lang/>
        </w:rPr>
        <w:t xml:space="preserve">, </w:t>
      </w:r>
      <w:r w:rsidR="002C0DCD" w:rsidRPr="002C0DCD">
        <w:rPr>
          <w:rFonts w:ascii="Times New Roman" w:hAnsi="Times New Roman" w:cs="Times New Roman"/>
          <w:i/>
          <w:iCs/>
          <w:sz w:val="24"/>
          <w:szCs w:val="24"/>
          <w:lang/>
        </w:rPr>
        <w:t>E</w:t>
      </w:r>
      <w:r w:rsidR="002C0DCD">
        <w:rPr>
          <w:rFonts w:ascii="Times New Roman" w:hAnsi="Times New Roman" w:cs="Times New Roman"/>
          <w:sz w:val="24"/>
          <w:szCs w:val="24"/>
          <w:lang/>
        </w:rPr>
        <w:t>(</w:t>
      </w:r>
      <w:r w:rsidR="002C0DCD" w:rsidRPr="002C0DCD">
        <w:rPr>
          <w:rFonts w:ascii="Times New Roman" w:hAnsi="Times New Roman" w:cs="Times New Roman"/>
          <w:i/>
          <w:iCs/>
          <w:sz w:val="24"/>
          <w:szCs w:val="24"/>
          <w:lang/>
        </w:rPr>
        <w:t>d</w:t>
      </w:r>
      <w:r w:rsidR="002C0DCD">
        <w:rPr>
          <w:rFonts w:ascii="Times New Roman" w:hAnsi="Times New Roman" w:cs="Times New Roman"/>
          <w:sz w:val="24"/>
          <w:szCs w:val="24"/>
          <w:lang/>
        </w:rPr>
        <w:t>)</w:t>
      </w:r>
      <w:r w:rsidRPr="00F5652B">
        <w:rPr>
          <w:rFonts w:ascii="Times New Roman" w:hAnsi="Times New Roman" w:cs="Times New Roman"/>
          <w:sz w:val="24"/>
          <w:szCs w:val="24"/>
          <w:lang/>
        </w:rPr>
        <w:t xml:space="preserve">, given the </w:t>
      </w:r>
      <w:r w:rsidR="003521C1">
        <w:rPr>
          <w:rFonts w:ascii="Times New Roman" w:hAnsi="Times New Roman" w:cs="Times New Roman"/>
          <w:sz w:val="24"/>
          <w:szCs w:val="24"/>
          <w:lang/>
        </w:rPr>
        <w:t xml:space="preserve">corresponding </w:t>
      </w:r>
      <w:r w:rsidRPr="00F5652B">
        <w:rPr>
          <w:rFonts w:ascii="Times New Roman" w:hAnsi="Times New Roman" w:cs="Times New Roman"/>
          <w:sz w:val="24"/>
          <w:szCs w:val="24"/>
          <w:lang/>
        </w:rPr>
        <w:t xml:space="preserve">bioenergetics equation in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uthor":[{"dropping-particle":"","family":"Pirotta","given":"Enrico","non-dropping-particle":"","parse-names":false,"suffix":""},{"dropping-particle":"","family":"Mangel","given":"Marc","non-dropping-particle":"","parse-names":false,"suffix":""},{"dropping-particle":"","family":"Costa","given":"Daniel P.","non-dropping-particle":"","parse-names":false,"suffix":""},{"dropping-particle":"","family":"Goldbogen","given":"Jeremy","non-dropping-particle":"","parse-names":false,"suffix":""},{"dropping-particle":"","family":"Harwood","given":"John","non-dropping-particle":"","parse-names":false,"suffix":""},{"dropping-particle":"","family":"Hin","given":"Vincent","non-dropping-particle":"","parse-names":false,"suffix":""},{"dropping-particle":"","family":"Irvine","given":"Ladd M.","non-dropping-particle":"","parse-names":false,"suffix":""},{"dropping-particle":"","family":"Mate","given":"Bruce R.","non-dropping-particle":"","parse-names":false,"suffix":""},{"dropping-particle":"","family":"McHuron","given":"Elizabeth A.","non-dropping-particle":"","parse-names":false,"suffix":""},{"dropping-particle":"","family":"Palacios","given":"Daniel M.","non-dropping-particle":"","parse-names":false,"suffix":""},{"dropping-particle":"","family":"Schwarz","given":"Lisa K.","non-dropping-particle":"","parse-names":false,"suffix":""},{"dropping-particle":"","family":"New","given":"Leslie","non-dropping-particle":"","parse-names":false,"suffix":""}],"container-title":"Oikos","id":"ITEM-1","issue":"9","issued":{"date-parts":[["2019"]]},"page":"1340-1357","title":"Anthropogenic disturbance in a changing environment: modelling lifetime reproductive success to predict the consequences of multiple stressors on a migratory population","type":"article-journal","volume":"128"},"uris":["http://www.mendeley.com/documents/?uuid=8c849508-ff6b-4e4e-9329-2240c00f1339"]},{"id":"ITEM-2","itemData":{"author":[{"dropping-particle":"","family":"Pirotta","given":"Enrico","non-dropping-particle":"","parse-names":false,"suffix":""},{"dropping-particle":"","family":"Mangel","given":"Marc","non-dropping-particle":"","parse-names":false,"suffix":""},{"dropping-particle":"","family":"Costa","given":"Daniel P.","non-dropping-particle":"","parse-names":false,"suffix":""},{"dropping-particle":"","family":"Mate","given":"Bruce","non-dropping-particle":"","parse-names":false,"suffix":""},{"dropping-particle":"","family":"Goldbogen","given":"Jeremy","non-dropping-particle":"","parse-names":false,"suffix":""},{"dropping-particle":"","family":"Palacios","given":"D. M.","non-dropping-particle":"","parse-names":false,"suffix":""},{"dropping-particle":"","family":"Huckstadt","given":"Luis","non-dropping-particle":"","parse-names":false,"suffix":""},{"dropping-particle":"","family":"McHuron","given":"Elizabeth A.","non-dropping-particle":"","parse-names":false,"suffix":""},{"dropping-particle":"","family":"Schwarz","given":"Lisa","non-dropping-particle":"","parse-names":false,"suffix":""},{"dropping-particle":"","family":"New","given":"Leslie","non-dropping-particle":"","parse-names":false,"suffix":""}],"container-title":"The American Naturalist","id":"ITEM-2","issue":"2","issued":{"date-parts":[["2018"]]},"page":"E40-E56","title":"A dynamic state model of migratory behavior and physiology to assess the consequences of environmental variation and anthropogenic disturbance on marine vertebrates","type":"article-journal","volume":"191"},"uris":["http://www.mendeley.com/documents/?uuid=e9c753ab-9282-4833-bfaf-33c008203551"]}],"mendeley":{"formattedCitation":"(Pirotta &lt;i&gt;et al.&lt;/i&gt;, 2018b, 2019)","manualFormatting":"Pirotta et al. (2018, 2019)","plainTextFormattedCitation":"(Pirotta et al., 2018b, 2019)","previouslyFormattedCitation":"(Pirotta &lt;i&gt;et al.&lt;/i&gt;, 2018b, 2019)"},"properties":{"noteIndex":0},"schema":"https://github.com/citation-style-language/schema/raw/master/csl-citation.json"}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 xml:space="preserve">Pirotta </w:t>
      </w:r>
      <w:r w:rsidRPr="00F5652B">
        <w:rPr>
          <w:rFonts w:ascii="Times New Roman" w:hAnsi="Times New Roman" w:cs="Times New Roman"/>
          <w:i/>
          <w:noProof/>
          <w:sz w:val="24"/>
          <w:szCs w:val="24"/>
          <w:lang/>
        </w:rPr>
        <w:t>et al.</w:t>
      </w:r>
      <w:r w:rsidRPr="00F5652B">
        <w:rPr>
          <w:rFonts w:ascii="Times New Roman" w:hAnsi="Times New Roman" w:cs="Times New Roman"/>
          <w:noProof/>
          <w:sz w:val="24"/>
          <w:szCs w:val="24"/>
          <w:lang/>
        </w:rPr>
        <w:t xml:space="preserve"> (2018, 2019)</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w:t>
      </w:r>
    </w:p>
    <w:p w14:paraId="30E4A47D" w14:textId="0AB9F986"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sz w:val="24"/>
          <w:szCs w:val="24"/>
          <w:lang/>
        </w:rPr>
        <w:t>E</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w:t>
      </w:r>
      <w:r w:rsidRPr="00F5652B">
        <w:rPr>
          <w:rFonts w:ascii="Times New Roman" w:hAnsi="Times New Roman" w:cs="Times New Roman"/>
          <w:sz w:val="24"/>
          <w:szCs w:val="24"/>
          <w:lang/>
        </w:rPr>
        <w:t xml:space="preserve"> = </w:t>
      </w:r>
      <m:oMath>
        <m:nary>
          <m:naryPr>
            <m:chr m:val="∑"/>
            <m:limLoc m:val="subSup"/>
            <m:ctrlPr>
              <w:rPr>
                <w:rFonts w:ascii="Cambria Math" w:hAnsi="Cambria Math" w:cs="Times New Roman"/>
                <w:i/>
                <w:sz w:val="24"/>
                <w:szCs w:val="24"/>
                <w:lang/>
              </w:rPr>
            </m:ctrlPr>
          </m:naryPr>
          <m:sub>
            <m:r>
              <w:rPr>
                <w:rFonts w:ascii="Cambria Math" w:hAnsi="Cambria Math" w:cs="Times New Roman"/>
                <w:sz w:val="24"/>
                <w:szCs w:val="24"/>
                <w:lang/>
              </w:rPr>
              <m:t>h=1</m:t>
            </m:r>
          </m:sub>
          <m:sup>
            <m:sSub>
              <m:sSubPr>
                <m:ctrlPr>
                  <w:rPr>
                    <w:rFonts w:ascii="Cambria Math" w:hAnsi="Cambria Math" w:cs="Times New Roman"/>
                    <w:i/>
                    <w:sz w:val="24"/>
                    <w:szCs w:val="24"/>
                    <w:lang/>
                  </w:rPr>
                </m:ctrlPr>
              </m:sSubPr>
              <m:e>
                <m:r>
                  <w:rPr>
                    <w:rFonts w:ascii="Cambria Math" w:hAnsi="Cambria Math" w:cs="Times New Roman"/>
                    <w:sz w:val="24"/>
                    <w:szCs w:val="24"/>
                    <w:lang/>
                  </w:rPr>
                  <m:t>t</m:t>
                </m:r>
              </m:e>
              <m:sub>
                <m:r>
                  <w:rPr>
                    <w:rFonts w:ascii="Cambria Math" w:hAnsi="Cambria Math" w:cs="Times New Roman"/>
                    <w:sz w:val="24"/>
                    <w:szCs w:val="24"/>
                    <w:lang/>
                  </w:rPr>
                  <m:t>f</m:t>
                </m:r>
              </m:sub>
            </m:sSub>
            <m:r>
              <w:rPr>
                <w:rFonts w:ascii="Cambria Math" w:hAnsi="Cambria Math" w:cs="Times New Roman"/>
                <w:sz w:val="24"/>
                <w:szCs w:val="24"/>
                <w:lang/>
              </w:rPr>
              <m:t>(d)</m:t>
            </m:r>
          </m:sup>
          <m:e>
            <m:nary>
              <m:naryPr>
                <m:chr m:val="∑"/>
                <m:limLoc m:val="subSup"/>
                <m:ctrlPr>
                  <w:rPr>
                    <w:rFonts w:ascii="Cambria Math" w:hAnsi="Cambria Math" w:cs="Times New Roman"/>
                    <w:i/>
                    <w:sz w:val="24"/>
                    <w:szCs w:val="24"/>
                    <w:lang/>
                  </w:rPr>
                </m:ctrlPr>
              </m:naryPr>
              <m:sub>
                <m:r>
                  <w:rPr>
                    <w:rFonts w:ascii="Cambria Math" w:hAnsi="Cambria Math" w:cs="Times New Roman"/>
                    <w:sz w:val="24"/>
                    <w:szCs w:val="24"/>
                    <w:lang/>
                  </w:rPr>
                  <m:t>i=1</m:t>
                </m:r>
              </m:sub>
              <m:sup>
                <m:r>
                  <w:rPr>
                    <w:rFonts w:ascii="Cambria Math" w:hAnsi="Cambria Math" w:cs="Times New Roman"/>
                    <w:sz w:val="24"/>
                    <w:szCs w:val="24"/>
                    <w:lang/>
                  </w:rPr>
                  <m:t>ω(h,d)</m:t>
                </m:r>
              </m:sup>
              <m:e>
                <m:r>
                  <w:rPr>
                    <w:rFonts w:ascii="Cambria Math" w:hAnsi="Cambria Math" w:cs="Times New Roman"/>
                    <w:sz w:val="24"/>
                    <w:szCs w:val="24"/>
                    <w:lang/>
                  </w:rPr>
                  <m:t>x</m:t>
                </m:r>
                <m:d>
                  <m:dPr>
                    <m:ctrlPr>
                      <w:rPr>
                        <w:rFonts w:ascii="Cambria Math" w:hAnsi="Cambria Math" w:cs="Times New Roman"/>
                        <w:sz w:val="24"/>
                        <w:szCs w:val="24"/>
                        <w:lang/>
                      </w:rPr>
                    </m:ctrlPr>
                  </m:dPr>
                  <m:e>
                    <m:r>
                      <w:rPr>
                        <w:rFonts w:ascii="Cambria Math" w:hAnsi="Cambria Math" w:cs="Times New Roman"/>
                        <w:sz w:val="24"/>
                        <w:szCs w:val="24"/>
                        <w:lang/>
                      </w:rPr>
                      <m:t>i,h,d</m:t>
                    </m:r>
                  </m:e>
                </m:d>
                <m:r>
                  <m:rPr>
                    <m:sty m:val="p"/>
                  </m:rPr>
                  <w:rPr>
                    <w:rFonts w:ascii="Cambria Math" w:hAnsi="Cambria Math" w:cs="Times New Roman"/>
                    <w:sz w:val="24"/>
                    <w:szCs w:val="24"/>
                    <w:lang/>
                  </w:rPr>
                  <m:t>∙</m:t>
                </m:r>
                <m:r>
                  <w:rPr>
                    <w:rFonts w:ascii="Cambria Math" w:hAnsi="Cambria Math" w:cs="Times New Roman"/>
                    <w:sz w:val="24"/>
                    <w:szCs w:val="24"/>
                    <w:lang/>
                  </w:rPr>
                  <m:t>β</m:t>
                </m:r>
                <m:r>
                  <m:rPr>
                    <m:sty m:val="p"/>
                  </m:rPr>
                  <w:rPr>
                    <w:rFonts w:ascii="Cambria Math" w:hAnsi="Cambria Math" w:cs="Times New Roman"/>
                    <w:sz w:val="24"/>
                    <w:szCs w:val="24"/>
                    <w:lang/>
                  </w:rPr>
                  <m:t>∙</m:t>
                </m:r>
                <m:r>
                  <w:rPr>
                    <w:rFonts w:ascii="Cambria Math" w:hAnsi="Cambria Math" w:cs="Times New Roman"/>
                    <w:sz w:val="24"/>
                    <w:szCs w:val="24"/>
                    <w:lang/>
                  </w:rPr>
                  <m:t>ρ</m:t>
                </m:r>
                <m:r>
                  <m:rPr>
                    <m:sty m:val="p"/>
                  </m:rPr>
                  <w:rPr>
                    <w:rFonts w:ascii="Cambria Math" w:hAnsi="Cambria Math" w:cs="Times New Roman"/>
                    <w:sz w:val="24"/>
                    <w:szCs w:val="24"/>
                    <w:lang/>
                  </w:rPr>
                  <m:t>∙</m:t>
                </m:r>
                <m:r>
                  <w:rPr>
                    <w:rFonts w:ascii="Cambria Math" w:hAnsi="Cambria Math" w:cs="Times New Roman"/>
                    <w:sz w:val="24"/>
                    <w:szCs w:val="24"/>
                    <w:lang/>
                  </w:rPr>
                  <m:t>A,</m:t>
                </m:r>
                <m:r>
                  <m:rPr>
                    <m:sty m:val="p"/>
                  </m:rPr>
                  <w:rPr>
                    <w:rFonts w:ascii="Cambria Math" w:hAnsi="Cambria Math" w:cs="Times New Roman"/>
                    <w:sz w:val="24"/>
                    <w:szCs w:val="24"/>
                    <w:lang/>
                  </w:rPr>
                  <m:t xml:space="preserve"> </m:t>
                </m:r>
              </m:e>
            </m:nary>
          </m:e>
        </m:nary>
      </m:oMath>
      <w:r w:rsidRPr="00F5652B">
        <w:rPr>
          <w:rFonts w:ascii="Times New Roman" w:hAnsi="Times New Roman" w:cs="Times New Roman"/>
          <w:sz w:val="24"/>
          <w:szCs w:val="24"/>
          <w:lang/>
        </w:rPr>
        <w:t xml:space="preserve"> where:</w:t>
      </w:r>
    </w:p>
    <w:p w14:paraId="4E871A7D" w14:textId="77777777"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t</w:t>
      </w:r>
      <w:r w:rsidRPr="00F5652B">
        <w:rPr>
          <w:rFonts w:ascii="Times New Roman" w:hAnsi="Times New Roman" w:cs="Times New Roman"/>
          <w:i/>
          <w:sz w:val="24"/>
          <w:szCs w:val="24"/>
          <w:vertAlign w:val="subscript"/>
          <w:lang/>
        </w:rPr>
        <w:t>f</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w:t>
      </w:r>
      <w:r w:rsidRPr="00F5652B">
        <w:rPr>
          <w:rFonts w:ascii="Times New Roman" w:hAnsi="Times New Roman" w:cs="Times New Roman"/>
          <w:sz w:val="24"/>
          <w:szCs w:val="24"/>
          <w:lang/>
        </w:rPr>
        <w:t xml:space="preserve"> is the number of hours spent feeding on that day (from the multi-day tag data);</w:t>
      </w:r>
    </w:p>
    <w:p w14:paraId="30100766" w14:textId="7C2452CD"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ω</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h,d</w:t>
      </w:r>
      <w:r w:rsidRPr="00F5652B">
        <w:rPr>
          <w:rFonts w:ascii="Times New Roman" w:hAnsi="Times New Roman" w:cs="Times New Roman"/>
          <w:iCs/>
          <w:sz w:val="24"/>
          <w:szCs w:val="24"/>
          <w:lang/>
        </w:rPr>
        <w:t xml:space="preserve">) is the number of lunges in each feeding hour </w:t>
      </w:r>
      <w:r w:rsidRPr="00F5652B">
        <w:rPr>
          <w:rFonts w:ascii="Times New Roman" w:hAnsi="Times New Roman" w:cs="Times New Roman"/>
          <w:i/>
          <w:sz w:val="24"/>
          <w:szCs w:val="24"/>
          <w:lang/>
        </w:rPr>
        <w:t xml:space="preserve">h </w:t>
      </w:r>
      <w:r w:rsidRPr="00F5652B">
        <w:rPr>
          <w:rFonts w:ascii="Times New Roman" w:hAnsi="Times New Roman" w:cs="Times New Roman"/>
          <w:iCs/>
          <w:sz w:val="24"/>
          <w:szCs w:val="24"/>
          <w:lang/>
        </w:rPr>
        <w:t xml:space="preserve">of day </w:t>
      </w:r>
      <w:r w:rsidRPr="00F5652B">
        <w:rPr>
          <w:rFonts w:ascii="Times New Roman" w:hAnsi="Times New Roman" w:cs="Times New Roman"/>
          <w:i/>
          <w:sz w:val="24"/>
          <w:szCs w:val="24"/>
          <w:lang/>
        </w:rPr>
        <w:t xml:space="preserve">d </w:t>
      </w:r>
      <w:r w:rsidRPr="00F5652B">
        <w:rPr>
          <w:rFonts w:ascii="Times New Roman" w:hAnsi="Times New Roman" w:cs="Times New Roman"/>
          <w:iCs/>
          <w:sz w:val="24"/>
          <w:szCs w:val="24"/>
          <w:lang/>
        </w:rPr>
        <w:t>(i.e., the lunge rate</w:t>
      </w:r>
      <w:r w:rsidR="00C72C05">
        <w:rPr>
          <w:rFonts w:ascii="Times New Roman" w:hAnsi="Times New Roman" w:cs="Times New Roman"/>
          <w:iCs/>
          <w:sz w:val="24"/>
          <w:szCs w:val="24"/>
          <w:lang/>
        </w:rPr>
        <w:t>,</w:t>
      </w:r>
      <w:r w:rsidRPr="00F5652B">
        <w:rPr>
          <w:rFonts w:ascii="Times New Roman" w:hAnsi="Times New Roman" w:cs="Times New Roman"/>
          <w:iCs/>
          <w:sz w:val="24"/>
          <w:szCs w:val="24"/>
          <w:lang/>
        </w:rPr>
        <w:t xml:space="preserve"> </w:t>
      </w:r>
      <w:r w:rsidRPr="00F5652B">
        <w:rPr>
          <w:rFonts w:ascii="Times New Roman" w:hAnsi="Times New Roman" w:cs="Times New Roman"/>
          <w:sz w:val="24"/>
          <w:szCs w:val="24"/>
          <w:lang/>
        </w:rPr>
        <w:t>from the multi-day tag data</w:t>
      </w:r>
      <w:r w:rsidRPr="00F5652B">
        <w:rPr>
          <w:rFonts w:ascii="Times New Roman" w:hAnsi="Times New Roman" w:cs="Times New Roman"/>
          <w:iCs/>
          <w:sz w:val="24"/>
          <w:szCs w:val="24"/>
          <w:lang/>
        </w:rPr>
        <w:t>);</w:t>
      </w:r>
    </w:p>
    <w:p w14:paraId="71F8B3A9" w14:textId="5F4B054A"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iCs/>
          <w:sz w:val="24"/>
          <w:szCs w:val="24"/>
          <w:lang/>
        </w:rPr>
      </w:pPr>
      <w:r w:rsidRPr="00F5652B">
        <w:rPr>
          <w:rFonts w:ascii="Times New Roman" w:hAnsi="Times New Roman" w:cs="Times New Roman"/>
          <w:i/>
          <w:iCs/>
          <w:sz w:val="24"/>
          <w:szCs w:val="24"/>
          <w:lang/>
        </w:rPr>
        <w:t>x</w:t>
      </w:r>
      <w:r w:rsidRPr="00F5652B">
        <w:rPr>
          <w:rFonts w:ascii="Times New Roman" w:hAnsi="Times New Roman" w:cs="Times New Roman"/>
          <w:iCs/>
          <w:sz w:val="24"/>
          <w:szCs w:val="24"/>
          <w:lang/>
        </w:rPr>
        <w:t>(</w:t>
      </w:r>
      <w:r w:rsidRPr="00F5652B">
        <w:rPr>
          <w:rFonts w:ascii="Times New Roman" w:hAnsi="Times New Roman" w:cs="Times New Roman"/>
          <w:i/>
          <w:iCs/>
          <w:sz w:val="24"/>
          <w:szCs w:val="24"/>
          <w:lang/>
        </w:rPr>
        <w:t>i,h,d</w:t>
      </w:r>
      <w:r w:rsidRPr="00F5652B">
        <w:rPr>
          <w:rFonts w:ascii="Times New Roman" w:hAnsi="Times New Roman" w:cs="Times New Roman"/>
          <w:sz w:val="24"/>
          <w:szCs w:val="24"/>
          <w:lang/>
        </w:rPr>
        <w:t>)</w:t>
      </w:r>
      <w:r w:rsidRPr="00F5652B">
        <w:rPr>
          <w:rFonts w:ascii="Times New Roman" w:hAnsi="Times New Roman" w:cs="Times New Roman"/>
          <w:i/>
          <w:iCs/>
          <w:sz w:val="24"/>
          <w:szCs w:val="24"/>
          <w:vertAlign w:val="subscript"/>
          <w:lang/>
        </w:rPr>
        <w:t xml:space="preserve"> </w:t>
      </w:r>
      <w:r w:rsidRPr="00F5652B">
        <w:rPr>
          <w:rFonts w:ascii="Times New Roman" w:hAnsi="Times New Roman" w:cs="Times New Roman"/>
          <w:sz w:val="24"/>
          <w:szCs w:val="24"/>
          <w:lang/>
        </w:rPr>
        <w:t xml:space="preserve">is </w:t>
      </w:r>
      <w:r w:rsidR="00DD1C3A">
        <w:rPr>
          <w:rFonts w:ascii="Times New Roman" w:hAnsi="Times New Roman" w:cs="Times New Roman"/>
          <w:sz w:val="24"/>
          <w:szCs w:val="24"/>
          <w:lang/>
        </w:rPr>
        <w:t xml:space="preserve">a value of </w:t>
      </w:r>
      <w:r w:rsidRPr="00F5652B">
        <w:rPr>
          <w:rFonts w:ascii="Times New Roman" w:hAnsi="Times New Roman" w:cs="Times New Roman"/>
          <w:sz w:val="24"/>
          <w:szCs w:val="24"/>
          <w:lang/>
        </w:rPr>
        <w:t>krill density (kg/m</w:t>
      </w:r>
      <w:r w:rsidRPr="00F5652B">
        <w:rPr>
          <w:rFonts w:ascii="Times New Roman" w:hAnsi="Times New Roman" w:cs="Times New Roman"/>
          <w:sz w:val="24"/>
          <w:szCs w:val="24"/>
          <w:vertAlign w:val="superscript"/>
          <w:lang/>
        </w:rPr>
        <w:t>3</w:t>
      </w:r>
      <w:r w:rsidRPr="00F5652B">
        <w:rPr>
          <w:rFonts w:ascii="Times New Roman" w:hAnsi="Times New Roman" w:cs="Times New Roman"/>
          <w:sz w:val="24"/>
          <w:szCs w:val="24"/>
          <w:lang/>
        </w:rPr>
        <w:t xml:space="preserve">), drawn from the pooled distribution of krill densities for each lunge </w:t>
      </w:r>
      <w:r w:rsidRPr="00F5652B">
        <w:rPr>
          <w:rFonts w:ascii="Times New Roman" w:hAnsi="Times New Roman" w:cs="Times New Roman"/>
          <w:i/>
          <w:iCs/>
          <w:sz w:val="24"/>
          <w:szCs w:val="24"/>
          <w:lang/>
        </w:rPr>
        <w:t>i</w:t>
      </w:r>
      <w:r w:rsidRPr="00F5652B">
        <w:rPr>
          <w:rFonts w:ascii="Times New Roman" w:hAnsi="Times New Roman" w:cs="Times New Roman"/>
          <w:iCs/>
          <w:sz w:val="24"/>
          <w:szCs w:val="24"/>
          <w:lang/>
        </w:rPr>
        <w:t xml:space="preserve"> in each feeding hour </w:t>
      </w:r>
      <w:r w:rsidRPr="00F5652B">
        <w:rPr>
          <w:rFonts w:ascii="Times New Roman" w:hAnsi="Times New Roman" w:cs="Times New Roman"/>
          <w:i/>
          <w:sz w:val="24"/>
          <w:szCs w:val="24"/>
          <w:lang/>
        </w:rPr>
        <w:t xml:space="preserve">h </w:t>
      </w:r>
      <w:r w:rsidRPr="00F5652B">
        <w:rPr>
          <w:rFonts w:ascii="Times New Roman" w:hAnsi="Times New Roman" w:cs="Times New Roman"/>
          <w:iCs/>
          <w:sz w:val="24"/>
          <w:szCs w:val="24"/>
          <w:lang/>
        </w:rPr>
        <w:t xml:space="preserve">of day </w:t>
      </w:r>
      <w:r w:rsidRPr="00F5652B">
        <w:rPr>
          <w:rFonts w:ascii="Times New Roman" w:hAnsi="Times New Roman" w:cs="Times New Roman"/>
          <w:i/>
          <w:sz w:val="24"/>
          <w:szCs w:val="24"/>
          <w:lang/>
        </w:rPr>
        <w:t>d</w:t>
      </w:r>
      <w:r w:rsidRPr="00F5652B">
        <w:rPr>
          <w:rFonts w:ascii="Times New Roman" w:hAnsi="Times New Roman" w:cs="Times New Roman"/>
          <w:sz w:val="24"/>
          <w:szCs w:val="24"/>
          <w:lang/>
        </w:rPr>
        <w:t>;</w:t>
      </w:r>
    </w:p>
    <w:p w14:paraId="6D1151E7" w14:textId="77777777"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iCs/>
          <w:sz w:val="24"/>
          <w:szCs w:val="24"/>
          <w:lang/>
        </w:rPr>
      </w:pPr>
      <w:r w:rsidRPr="00F5652B">
        <w:rPr>
          <w:rFonts w:ascii="Times New Roman" w:hAnsi="Times New Roman" w:cs="Times New Roman"/>
          <w:i/>
          <w:sz w:val="24"/>
          <w:szCs w:val="24"/>
          <w:lang/>
        </w:rPr>
        <w:lastRenderedPageBreak/>
        <w:t>β</w:t>
      </w:r>
      <w:r w:rsidRPr="00F5652B">
        <w:rPr>
          <w:rFonts w:ascii="Times New Roman" w:hAnsi="Times New Roman" w:cs="Times New Roman"/>
          <w:iCs/>
          <w:sz w:val="24"/>
          <w:szCs w:val="24"/>
          <w:lang/>
        </w:rPr>
        <w:t xml:space="preserve"> = 0.0011 ∙ </w:t>
      </w:r>
      <w:r w:rsidRPr="00F5652B">
        <w:rPr>
          <w:rFonts w:ascii="Times New Roman" w:hAnsi="Times New Roman" w:cs="Times New Roman"/>
          <w:i/>
          <w:sz w:val="24"/>
          <w:szCs w:val="24"/>
          <w:lang/>
        </w:rPr>
        <w:t>L</w:t>
      </w:r>
      <w:r w:rsidRPr="00F5652B">
        <w:rPr>
          <w:rFonts w:ascii="Times New Roman" w:hAnsi="Times New Roman" w:cs="Times New Roman"/>
          <w:iCs/>
          <w:sz w:val="24"/>
          <w:szCs w:val="24"/>
          <w:vertAlign w:val="superscript"/>
          <w:lang/>
        </w:rPr>
        <w:t>3.56</w:t>
      </w:r>
      <w:r w:rsidRPr="00F5652B">
        <w:rPr>
          <w:rFonts w:ascii="Times New Roman" w:hAnsi="Times New Roman" w:cs="Times New Roman"/>
          <w:iCs/>
          <w:sz w:val="24"/>
          <w:szCs w:val="24"/>
          <w:lang/>
        </w:rPr>
        <w:t xml:space="preserve"> is the volume of water ingested in a lunge (m</w:t>
      </w:r>
      <w:r w:rsidRPr="00F5652B">
        <w:rPr>
          <w:rFonts w:ascii="Times New Roman" w:hAnsi="Times New Roman" w:cs="Times New Roman"/>
          <w:iCs/>
          <w:sz w:val="24"/>
          <w:szCs w:val="24"/>
          <w:vertAlign w:val="superscript"/>
          <w:lang/>
        </w:rPr>
        <w:t>3</w:t>
      </w:r>
      <w:r w:rsidRPr="00F5652B">
        <w:rPr>
          <w:rFonts w:ascii="Times New Roman" w:hAnsi="Times New Roman" w:cs="Times New Roman"/>
          <w:iCs/>
          <w:sz w:val="24"/>
          <w:szCs w:val="24"/>
          <w:lang/>
        </w:rPr>
        <w:t xml:space="preserve">), given individual length </w:t>
      </w:r>
      <w:r w:rsidRPr="00F5652B">
        <w:rPr>
          <w:rFonts w:ascii="Times New Roman" w:hAnsi="Times New Roman" w:cs="Times New Roman"/>
          <w:i/>
          <w:sz w:val="24"/>
          <w:szCs w:val="24"/>
          <w:lang/>
        </w:rPr>
        <w:t>L</w:t>
      </w:r>
      <w:r w:rsidRPr="00F5652B">
        <w:rPr>
          <w:rFonts w:ascii="Times New Roman" w:hAnsi="Times New Roman" w:cs="Times New Roman"/>
          <w:iCs/>
          <w:sz w:val="24"/>
          <w:szCs w:val="24"/>
          <w:lang/>
        </w:rPr>
        <w:t xml:space="preserve"> in m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{"citationItems":[{"id":"ITEM-1","itemData":{"abstract":"Rorqual whales (Balaenopteridae) represent not only some of the largest animals of all time, but also exhibit a wide range in intraspecific and interspecific body size. Balaenopterids are characterized by their extreme lunge-feeding behaviour, a dynamic process that involves the engulfment of a large volume of prey-laden water at a high energetic cost. To investigate the consequences of scale and morphology on lunge-feeding performance, we determined allometric equations for fin whale body dimensions and engulfment capacity. Our analysis demonstrates that larger fin whales have larger skulls and larger buccal cavities relative to body size. Together, these data suggest that engulfment volume is also allometric, increasing with body length as Graphic. The positive allometry of the skull is accompanied by negative allometry in the tail region. The relative shortening of the tail may represent a trade-off for investing all growth-related resources in the anterior region of the body. Although enhanced engulfment volume will increase foraging efficiency, the work (energy) required to accelerate the engulfed water mass during engulfment will be relatively higher in larger rorquals. If the mass-specific energetic cost of a lunge increases with body size, it will have major consequences for rorqual foraging ecology and evolution.","author":[{"dropping-particle":"","family":"Goldbogen","given":"Jeremy A.","non-dropping-particle":"","parse-names":false,"suffix":""},{"dropping-particle":"","family":"Potvin","given":"Jean","non-dropping-particle":"","parse-names":false,"suffix":""},{"dropping-particle":"","family":"Shadwick","given":"Robert E.","non-dropping-particle":"","parse-names":false,"suffix":""}],"container-title":"Proceedings of the Royal Society B: Biological Sciences","id":"ITEM-1","issue":"1683","issued":{"date-parts":[["2009"]]},"page":"861-868","title":"Skull and buccal cavity allometry increase mass-specific engulfment capacity in fin whales","type":"article-journal","volume":"277"},"uris":["http://www.mendeley.com/documents/?uuid=6a7fb7c3-6362-402a-86ee-4142ff8e54ce"]}],"mendeley":{"formattedCitation":"(Goldbogen &lt;i&gt;et al.&lt;/i&gt;, 2009)","plainTextFormattedCitation":"(Goldbogen et al., 2009)","previouslyFormattedCitation":"(Goldbogen &lt;i&gt;et al.&lt;/i&gt;, 2009)"},"properties":{"noteIndex":0},"schema":"https://github.com/citation-style-language/schema/raw/master/csl-citation.json"}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 xml:space="preserve">(Goldbogen </w:t>
      </w:r>
      <w:r w:rsidRPr="00F5652B">
        <w:rPr>
          <w:rFonts w:ascii="Times New Roman" w:hAnsi="Times New Roman" w:cs="Times New Roman"/>
          <w:i/>
          <w:noProof/>
          <w:sz w:val="24"/>
          <w:szCs w:val="24"/>
          <w:lang/>
        </w:rPr>
        <w:t>et al.</w:t>
      </w:r>
      <w:r w:rsidRPr="00F5652B">
        <w:rPr>
          <w:rFonts w:ascii="Times New Roman" w:hAnsi="Times New Roman" w:cs="Times New Roman"/>
          <w:noProof/>
          <w:sz w:val="24"/>
          <w:szCs w:val="24"/>
          <w:lang/>
        </w:rPr>
        <w:t>, 2009)</w:t>
      </w:r>
      <w:r w:rsidRPr="00F5652B">
        <w:rPr>
          <w:rFonts w:ascii="Times New Roman" w:hAnsi="Times New Roman" w:cs="Times New Roman"/>
          <w:sz w:val="24"/>
          <w:szCs w:val="24"/>
          <w:lang/>
        </w:rPr>
        <w:fldChar w:fldCharType="end"/>
      </w:r>
      <w:r w:rsidRPr="00F5652B">
        <w:rPr>
          <w:rFonts w:ascii="Times New Roman" w:hAnsi="Times New Roman" w:cs="Times New Roman"/>
          <w:iCs/>
          <w:sz w:val="24"/>
          <w:szCs w:val="24"/>
          <w:lang/>
        </w:rPr>
        <w:t>;</w:t>
      </w:r>
    </w:p>
    <w:p w14:paraId="4C800055" w14:textId="77777777"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iCs/>
          <w:sz w:val="24"/>
          <w:szCs w:val="24"/>
          <w:lang/>
        </w:rPr>
      </w:pPr>
      <w:r w:rsidRPr="00F5652B">
        <w:rPr>
          <w:rFonts w:ascii="Times New Roman" w:hAnsi="Times New Roman" w:cs="Times New Roman"/>
          <w:i/>
          <w:sz w:val="24"/>
          <w:szCs w:val="24"/>
          <w:lang/>
        </w:rPr>
        <w:t>ρ</w:t>
      </w:r>
      <w:r w:rsidRPr="00F5652B">
        <w:rPr>
          <w:rFonts w:ascii="Times New Roman" w:hAnsi="Times New Roman" w:cs="Times New Roman"/>
          <w:sz w:val="24"/>
          <w:szCs w:val="24"/>
          <w:lang/>
        </w:rPr>
        <w:t xml:space="preserve"> = 3,800 kJ/kg is the energy density of krill in the California Current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{"citationItems":[{"id":"ITEM-1","itemData":{"author":[{"dropping-particle":"","family":"Chenoweth","given":"E.M.","non-dropping-particle":"","parse-names":false,"suffix":""}],"id":"ITEM-1","issued":{"date-parts":[["2018"]]},"publisher":"University of Alaska Fairbanks","title":"Bioenergetic and economic impacts of humpback whale depredation at salmon hatchery release sites","type":"thesis"},"uris":["http://www.mendeley.com/documents/?uuid=a5363664-d82a-477b-a323-cf23c790f20c"]}],"mendeley":{"formattedCitation":"(Chenoweth, 2018)","plainTextFormattedCitation":"(Chenoweth, 2018)","previouslyFormattedCitation":"(Chenoweth, 2018)"},"properties":{"noteIndex":0},"schema":"https://github.com/citation-style-language/schema/raw/master/csl-citation.json"}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(Chenoweth, 2018)</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659988A1" w14:textId="3219D1A7" w:rsidR="00BD77E6" w:rsidRPr="00F5652B" w:rsidRDefault="00BD77E6" w:rsidP="00517704">
      <w:pPr>
        <w:pStyle w:val="ListParagraph"/>
        <w:numPr>
          <w:ilvl w:val="0"/>
          <w:numId w:val="6"/>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A</w:t>
      </w:r>
      <w:r w:rsidRPr="00F5652B">
        <w:rPr>
          <w:rFonts w:ascii="Times New Roman" w:hAnsi="Times New Roman" w:cs="Times New Roman"/>
          <w:sz w:val="24"/>
          <w:szCs w:val="24"/>
          <w:lang/>
        </w:rPr>
        <w:t xml:space="preserve"> = 0.84 is the assimilation efficiency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{"citationItems":[{"id":"ITEM-1","itemData":{"author":[{"dropping-particle":"","family":"Goldbogen","given":"Jeremy A.","non-dropping-particle":"","parse-names":false,"suffix":""},{"dropping-particle":"","family":"Calambokidis","given":"J","non-dropping-particle":"","parse-names":false,"suffix":""},{"dropping-particle":"","family":"Oleson","given":"E","non-dropping-particle":"","parse-names":false,"suffix":""},{"dropping-particle":"","family":"Potvin","given":"J","non-dropping-particle":"","parse-names":false,"suffix":""},{"dropping-particle":"","family":"Pyenson","given":"N D","non-dropping-particle":"","parse-names":false,"suffix":""},{"dropping-particle":"","family":"Schorr","given":"G","non-dropping-particle":"","parse-names":false,"suffix":""},{"dropping-particle":"","family":"Shadwick","given":"R E","non-dropping-particle":"","parse-names":false,"suffix":""}],"container-title":"Journal of Experimental Biology","id":"ITEM-1","issued":{"date-parts":[["2011"]]},"page":"131-146","title":"Mechanics, hydrodynamics and energetics of blue whale lunge feeding: efficiency dependence on krill density","type":"article-journal","volume":"214"},"uris":["http://www.mendeley.com/documents/?uuid=406c14bf-ef73-4336-bc92-3fc7792ef551"]}],"mendeley":{"formattedCitation":"(Goldbogen &lt;i&gt;et al.&lt;/i&gt;, 2011)","plainTextFormattedCitation":"(Goldbogen et al., 2011)","previouslyFormattedCitation":"(Goldbogen &lt;i&gt;et al.&lt;/i&gt;, 2011)"},"properties":{"noteIndex":0},"schema":"https://github.com/citation-style-language/schema/raw/master/csl-citation.json"}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 xml:space="preserve">(Goldbogen </w:t>
      </w:r>
      <w:r w:rsidRPr="00F5652B">
        <w:rPr>
          <w:rFonts w:ascii="Times New Roman" w:hAnsi="Times New Roman" w:cs="Times New Roman"/>
          <w:i/>
          <w:noProof/>
          <w:sz w:val="24"/>
          <w:szCs w:val="24"/>
          <w:lang/>
        </w:rPr>
        <w:t>et al.</w:t>
      </w:r>
      <w:r w:rsidRPr="00F5652B">
        <w:rPr>
          <w:rFonts w:ascii="Times New Roman" w:hAnsi="Times New Roman" w:cs="Times New Roman"/>
          <w:noProof/>
          <w:sz w:val="24"/>
          <w:szCs w:val="24"/>
          <w:lang/>
        </w:rPr>
        <w:t>, 2011)</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w:t>
      </w:r>
    </w:p>
    <w:p w14:paraId="238CC844" w14:textId="5A209EB4" w:rsidR="00BD77E6" w:rsidRPr="00F5652B" w:rsidRDefault="00BD77E6" w:rsidP="00BD77E6">
      <w:pPr>
        <w:spacing w:line="480" w:lineRule="auto"/>
        <w:rPr>
          <w:rFonts w:ascii="Times New Roman" w:hAnsi="Times New Roman" w:cs="Times New Roman"/>
          <w:i/>
          <w:iCs/>
          <w:sz w:val="24"/>
          <w:szCs w:val="24"/>
          <w:lang/>
        </w:rPr>
      </w:pPr>
      <w:r w:rsidRPr="00F5652B">
        <w:rPr>
          <w:rFonts w:ascii="Times New Roman" w:hAnsi="Times New Roman" w:cs="Times New Roman"/>
          <w:sz w:val="24"/>
          <w:szCs w:val="24"/>
          <w:lang/>
        </w:rPr>
        <w:t xml:space="preserve">The bioenergetics equations in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uthor":[{"dropping-particle":"","family":"Pirotta","given":"Enrico","non-dropping-particle":"","parse-names":false,"suffix":""},{"dropping-particle":"","family":"Mangel","given":"Marc","non-dropping-particle":"","parse-names":false,"suffix":""},{"dropping-particle":"","family":"Costa","given":"Daniel P.","non-dropping-particle":"","parse-names":false,"suffix":""},{"dropping-particle":"","family":"Goldbogen","given":"Jeremy","non-dropping-particle":"","parse-names":false,"suffix":""},{"dropping-particle":"","family":"Harwood","given":"John","non-dropping-particle":"","parse-names":false,"suffix":""},{"dropping-particle":"","family":"Hin","given":"Vincent","non-dropping-particle":"","parse-names":false,"suffix":""},{"dropping-particle":"","family":"Irvine","given":"Ladd M.","non-dropping-particle":"","parse-names":false,"suffix":""},{"dropping-particle":"","family":"Mate","given":"Bruce R.","non-dropping-particle":"","parse-names":false,"suffix":""},{"dropping-particle":"","family":"McHuron","given":"Elizabeth A.","non-dropping-particle":"","parse-names":false,"suffix":""},{"dropping-particle":"","family":"Palacios","given":"Daniel M.","non-dropping-particle":"","parse-names":false,"suffix":""},{"dropping-particle":"","family":"Schwarz","given":"Lisa K.","non-dropping-particle":"","parse-names":false,"suffix":""},{"dropping-particle":"","family":"New","given":"Leslie","non-dropping-particle":"","parse-names":false,"suffix":""}],"container-title":"Oikos","id":"ITEM-1","issue":"9","issued":{"date-parts":[["2019"]]},"page":"1340-1357","title":"Anthropogenic disturbance in a changing environment: modelling lifetime reproductive success to predict the consequences of multiple stressors on a migratory population","type":"article-journal","volume":"128"},"uris":["http://www.mendeley.com/documents/?uuid=8c849508-ff6b-4e4e-9329-2240c00f1339"]},{"id":"ITEM-2","itemData":{"author":[{"dropping-particle":"","family":"Pirotta","given":"Enrico","non-dropping-particle":"","parse-names":false,"suffix":""},{"dropping-particle":"","family":"Mangel","given":"Marc","non-dropping-particle":"","parse-names":false,"suffix":""},{"dropping-particle":"","family":"Costa","given":"Daniel P.","non-dropping-particle":"","parse-names":false,"suffix":""},{"dropping-particle":"","family":"Mate","given":"Bruce","non-dropping-particle":"","parse-names":false,"suffix":""},{"dropping-particle":"","family":"Goldbogen","given":"Jeremy","non-dropping-particle":"","parse-names":false,"suffix":""},{"dropping-particle":"","family":"Palacios","given":"D. M.","non-dropping-particle":"","parse-names":false,"suffix":""},{"dropping-particle":"","family":"Huckstadt","given":"Luis","non-dropping-particle":"","parse-names":false,"suffix":""},{"dropping-particle":"","family":"McHuron","given":"Elizabeth A.","non-dropping-particle":"","parse-names":false,"suffix":""},{"dropping-particle":"","family":"Schwarz","given":"Lisa","non-dropping-particle":"","parse-names":false,"suffix":""},{"dropping-particle":"","family":"New","given":"Leslie","non-dropping-particle":"","parse-names":false,"suffix":""}],"container-title":"The American Naturalist","id":"ITEM-2","issue":"2","issued":{"date-parts":[["2018"]]},"page":"E40-E56","title":"A dynamic state model of migratory behavior and physiology to assess the consequences of environmental variation and anthropogenic disturbance on marine vertebrates","type":"article-journal","volume":"191"},"uris":["http://www.mendeley.com/documents/?uuid=e9c753ab-9282-4833-bfaf-33c008203551"]}],"mendeley":{"formattedCitation":"(Pirotta &lt;i&gt;et al.&lt;/i&gt;, 2018, 2019)","manualFormatting":"Pirotta et al. (2018b, 2019)","plainTextFormattedCitation":"(Pirotta et al., 2018, 2019)","previouslyFormattedCitation":"(Pirotta &lt;i&gt;et al.&lt;/i&gt;, 2018b, 2019)"},"properties":{"noteIndex":0},"schema":"https://github.com/citation-style-language/schema/raw/master/csl-citation.json"}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 xml:space="preserve">Pirotta </w:t>
      </w:r>
      <w:r w:rsidRPr="00F5652B">
        <w:rPr>
          <w:rFonts w:ascii="Times New Roman" w:hAnsi="Times New Roman" w:cs="Times New Roman"/>
          <w:i/>
          <w:noProof/>
          <w:sz w:val="24"/>
          <w:szCs w:val="24"/>
          <w:lang/>
        </w:rPr>
        <w:t>et al.</w:t>
      </w:r>
      <w:r w:rsidRPr="00F5652B">
        <w:rPr>
          <w:rFonts w:ascii="Times New Roman" w:hAnsi="Times New Roman" w:cs="Times New Roman"/>
          <w:noProof/>
          <w:sz w:val="24"/>
          <w:szCs w:val="24"/>
          <w:lang/>
        </w:rPr>
        <w:t xml:space="preserve"> (2018, 2019)</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were also used to estimate daily energy expenditure, given the activity budget on each day</w:t>
      </w:r>
      <w:r w:rsidR="00FC44AB" w:rsidRPr="00F5652B">
        <w:rPr>
          <w:rFonts w:ascii="Times New Roman" w:hAnsi="Times New Roman" w:cs="Times New Roman"/>
          <w:sz w:val="24"/>
          <w:szCs w:val="24"/>
          <w:lang/>
        </w:rPr>
        <w:t>:</w:t>
      </w:r>
    </w:p>
    <w:p w14:paraId="4E1B7AD4" w14:textId="77777777"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sz w:val="24"/>
          <w:szCs w:val="24"/>
          <w:lang/>
        </w:rPr>
        <w:t>C</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 xml:space="preserve">R </w:t>
      </w:r>
      <w:r w:rsidRPr="00F5652B">
        <w:rPr>
          <w:rFonts w:ascii="Times New Roman" w:hAnsi="Times New Roman" w:cs="Times New Roman"/>
          <w:sz w:val="24"/>
          <w:szCs w:val="24"/>
          <w:lang/>
        </w:rPr>
        <w:t xml:space="preserve">∙ </w:t>
      </w:r>
      <w:r w:rsidRPr="00F5652B">
        <w:rPr>
          <w:rFonts w:ascii="Times New Roman" w:hAnsi="Times New Roman" w:cs="Times New Roman"/>
          <w:i/>
          <w:sz w:val="24"/>
          <w:szCs w:val="24"/>
          <w:lang/>
        </w:rPr>
        <w:t>t</w:t>
      </w:r>
      <w:r w:rsidRPr="00F5652B">
        <w:rPr>
          <w:rFonts w:ascii="Times New Roman" w:hAnsi="Times New Roman" w:cs="Times New Roman"/>
          <w:i/>
          <w:sz w:val="24"/>
          <w:szCs w:val="24"/>
          <w:vertAlign w:val="subscript"/>
          <w:lang/>
        </w:rPr>
        <w:t>f</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M</w:t>
      </w:r>
      <w:r w:rsidRPr="00F5652B">
        <w:rPr>
          <w:rFonts w:ascii="Times New Roman" w:hAnsi="Times New Roman" w:cs="Times New Roman"/>
          <w:sz w:val="24"/>
          <w:szCs w:val="24"/>
          <w:lang/>
        </w:rPr>
        <w:t xml:space="preserve"> ∙ 3,600 / 1,000 is the cost of feeding (kJ) on day </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where:</w:t>
      </w:r>
    </w:p>
    <w:p w14:paraId="0F43F7E7" w14:textId="027E109A" w:rsidR="00BD77E6" w:rsidRPr="00F5652B" w:rsidRDefault="00BD77E6" w:rsidP="00517704">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R</w:t>
      </w:r>
      <w:r w:rsidRPr="00F5652B">
        <w:rPr>
          <w:rFonts w:ascii="Times New Roman" w:hAnsi="Times New Roman" w:cs="Times New Roman"/>
          <w:sz w:val="24"/>
          <w:szCs w:val="24"/>
          <w:lang/>
        </w:rPr>
        <w:t xml:space="preserve"> = 26.23 ∙ </w:t>
      </w:r>
      <w:r w:rsidRPr="00F5652B">
        <w:rPr>
          <w:rFonts w:ascii="Times New Roman" w:hAnsi="Times New Roman" w:cs="Times New Roman"/>
          <w:i/>
          <w:sz w:val="24"/>
          <w:szCs w:val="24"/>
          <w:lang/>
        </w:rPr>
        <w:t>L</w:t>
      </w:r>
      <w:r w:rsidR="00FC44AB" w:rsidRPr="00F5652B">
        <w:rPr>
          <w:rFonts w:ascii="Times New Roman" w:hAnsi="Times New Roman" w:cs="Times New Roman"/>
          <w:iCs/>
          <w:sz w:val="24"/>
          <w:szCs w:val="24"/>
          <w:vertAlign w:val="superscript"/>
          <w:lang/>
        </w:rPr>
        <w:t>-</w:t>
      </w:r>
      <w:r w:rsidRPr="00F5652B">
        <w:rPr>
          <w:rFonts w:ascii="Times New Roman" w:hAnsi="Times New Roman" w:cs="Times New Roman"/>
          <w:sz w:val="24"/>
          <w:szCs w:val="24"/>
          <w:vertAlign w:val="superscript"/>
          <w:lang/>
        </w:rPr>
        <w:t>0.809</w:t>
      </w:r>
      <w:r w:rsidRPr="00F5652B">
        <w:rPr>
          <w:rFonts w:ascii="Times New Roman" w:hAnsi="Times New Roman" w:cs="Times New Roman"/>
          <w:sz w:val="24"/>
          <w:szCs w:val="24"/>
          <w:lang/>
        </w:rPr>
        <w:t xml:space="preserve"> is blue whale mass-specific Rorqual Average Active Metabolic Rate (RAAMR, W/kg),</w:t>
      </w:r>
      <w:r w:rsidRPr="00F5652B">
        <w:rPr>
          <w:rFonts w:ascii="Times New Roman" w:hAnsi="Times New Roman" w:cs="Times New Roman"/>
          <w:iCs/>
          <w:sz w:val="24"/>
          <w:szCs w:val="24"/>
          <w:lang/>
        </w:rPr>
        <w:t xml:space="preserve"> given individual length </w:t>
      </w:r>
      <w:r w:rsidRPr="00F5652B">
        <w:rPr>
          <w:rFonts w:ascii="Times New Roman" w:hAnsi="Times New Roman" w:cs="Times New Roman"/>
          <w:i/>
          <w:sz w:val="24"/>
          <w:szCs w:val="24"/>
          <w:lang/>
        </w:rPr>
        <w:t>L</w:t>
      </w:r>
      <w:r w:rsidRPr="00F5652B">
        <w:rPr>
          <w:rFonts w:ascii="Times New Roman" w:hAnsi="Times New Roman" w:cs="Times New Roman"/>
          <w:iCs/>
          <w:sz w:val="24"/>
          <w:szCs w:val="24"/>
          <w:lang/>
        </w:rPr>
        <w:t xml:space="preserve"> in m </w:t>
      </w:r>
      <w:r w:rsidRPr="00F5652B">
        <w:rPr>
          <w:rFonts w:ascii="Times New Roman" w:hAnsi="Times New Roman" w:cs="Times New Roman"/>
          <w:iCs/>
          <w:sz w:val="24"/>
          <w:szCs w:val="24"/>
          <w:lang/>
        </w:rPr>
        <w:fldChar w:fldCharType="begin" w:fldLock="1"/>
      </w:r>
      <w:r w:rsidRPr="00F5652B">
        <w:rPr>
          <w:rFonts w:ascii="Times New Roman" w:hAnsi="Times New Roman" w:cs="Times New Roman"/>
          <w:iCs/>
          <w:sz w:val="24"/>
          <w:szCs w:val="24"/>
          <w:lang/>
        </w:rPr>
        <w:instrText>ADDIN CSL_CITATION {"citationItems":[{"id":"ITEM-1","itemData":{"DOI":"10.1371/journal.pone.0044854","ISBN":"1932-6203 (Electronic)\\r1932-6203 (Linking)","ISSN":"19326203","PMID":"23024769","abstract":"Bulk-filter feeding is an energetically efficient strategy for resource acquisition and assimilation, and facilitates the maintenance of extreme body size as exemplified by baleen whales (Mysticeti) and multiple lineages of bony and cartilaginous fishes. Among mysticetes, rorqual whales (Balaenopteridae) exhibit an intermittent ram filter feeding mode, lunge feeding, which requires the abandonment of body-streamlining in favor of a high-drag, mouth-open configuration aimed at engulfing a very large amount of prey-laden water. Particularly while lunge feeding on krill (the most widespread prey preference among rorquals), the effort required during engulfment involve short bouts of high-intensity muscle activity that demand high metabolic output. We used computational modeling together with morphological and kinematic data on humpback (Megaptera noveaangliae), fin (Balaenoptera physalus), blue (Balaenoptera musculus) and minke (Balaenoptera acutorostrata) whales to estimate engulfment power output in comparison with standard metrics of metabolic rate. The simulations reveal that engulfment metabolism increases across the full body size of the larger rorqual species to nearly 50 times the basal metabolic rate of terrestrial mammals of the same body mass. Moreover, they suggest that the metabolism of the largest body sizes runs with significant oxygen deficits during mouth opening, namely, 20% over maximum VO2 at the size of the largest blue whales, thus requiring significant contributions from anaerobic catabolism during a lunge and significant recovery after a lunge. Our analyses show that engulfment metabolism is also significantly lower for smaller adults, typically one-tenth to one-half VO2|max. These results not only point to a physiological limit on maximum body size in this lineage, but also have major implications for the ontogeny of extant rorquals as well as the evolutionary pathways used by ancestral toothed whales to transition from hunting individual prey items to filter feeding on prey aggregations.","author":[{"dropping-particle":"","family":"Potvin","given":"Jean","non-dropping-particle":"","parse-names":false,"suffix":""},{"dropping-particle":"","family":"Goldbogen","given":"Jeremy A.","non-dropping-particle":"","parse-names":false,"suffix":""},{"dropping-particle":"","family":"Shadwick","given":"Robert E.","non-dropping-particle":"","parse-names":false,"suffix":""}],"container-title":"PLoS ONE","id":"ITEM-1","issue":"9","issued":{"date-parts":[["2012"]]},"page":"e44854","title":"Metabolic expenditures of lunge feeding rorquals across scale: implications for the evolution of filter feeding and the limits to maximum body size","type":"article-journal","volume":"7"},"uris":["http://www.mendeley.com/documents/?uuid=6fb7df0b-1e72-44cf-945e-390bb6d0a20e"]}],"mendeley":{"formattedCitation":"(Potvin &lt;i&gt;et al.&lt;/i&gt;, 2012)","plainTextFormattedCitation":"(Potvin et al., 2012)","previouslyFormattedCitation":"(Potvin &lt;i&gt;et al.&lt;/i&gt;, 2012)"},"properties":{"noteIndex":0},"schema":"https://github.com/citation-style-language/schema/raw/master/csl-citation.json"}</w:instrText>
      </w:r>
      <w:r w:rsidRPr="00F5652B">
        <w:rPr>
          <w:rFonts w:ascii="Times New Roman" w:hAnsi="Times New Roman" w:cs="Times New Roman"/>
          <w:iCs/>
          <w:sz w:val="24"/>
          <w:szCs w:val="24"/>
          <w:lang/>
        </w:rPr>
        <w:fldChar w:fldCharType="separate"/>
      </w:r>
      <w:r w:rsidRPr="00F5652B">
        <w:rPr>
          <w:rFonts w:ascii="Times New Roman" w:hAnsi="Times New Roman" w:cs="Times New Roman"/>
          <w:iCs/>
          <w:noProof/>
          <w:sz w:val="24"/>
          <w:szCs w:val="24"/>
          <w:lang/>
        </w:rPr>
        <w:t xml:space="preserve">(Potvin </w:t>
      </w:r>
      <w:r w:rsidRPr="00F5652B">
        <w:rPr>
          <w:rFonts w:ascii="Times New Roman" w:hAnsi="Times New Roman" w:cs="Times New Roman"/>
          <w:i/>
          <w:iCs/>
          <w:noProof/>
          <w:sz w:val="24"/>
          <w:szCs w:val="24"/>
          <w:lang/>
        </w:rPr>
        <w:t>et al.</w:t>
      </w:r>
      <w:r w:rsidRPr="00F5652B">
        <w:rPr>
          <w:rFonts w:ascii="Times New Roman" w:hAnsi="Times New Roman" w:cs="Times New Roman"/>
          <w:iCs/>
          <w:noProof/>
          <w:sz w:val="24"/>
          <w:szCs w:val="24"/>
          <w:lang/>
        </w:rPr>
        <w:t>, 2012)</w:t>
      </w:r>
      <w:r w:rsidRPr="00F5652B">
        <w:rPr>
          <w:rFonts w:ascii="Times New Roman" w:hAnsi="Times New Roman" w:cs="Times New Roman"/>
          <w:iCs/>
          <w:sz w:val="24"/>
          <w:szCs w:val="24"/>
          <w:lang/>
        </w:rPr>
        <w:fldChar w:fldCharType="end"/>
      </w:r>
      <w:r w:rsidRPr="00F5652B">
        <w:rPr>
          <w:rFonts w:ascii="Times New Roman" w:hAnsi="Times New Roman" w:cs="Times New Roman"/>
          <w:sz w:val="24"/>
          <w:szCs w:val="24"/>
          <w:lang/>
        </w:rPr>
        <w:t>;</w:t>
      </w:r>
    </w:p>
    <w:p w14:paraId="3D8A0713" w14:textId="77777777" w:rsidR="00BD77E6" w:rsidRPr="00F5652B" w:rsidRDefault="00BD77E6" w:rsidP="00517704">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t</w:t>
      </w:r>
      <w:r w:rsidRPr="00F5652B">
        <w:rPr>
          <w:rFonts w:ascii="Times New Roman" w:hAnsi="Times New Roman" w:cs="Times New Roman"/>
          <w:i/>
          <w:sz w:val="24"/>
          <w:szCs w:val="24"/>
          <w:vertAlign w:val="subscript"/>
          <w:lang/>
        </w:rPr>
        <w:t>f</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w:t>
      </w:r>
      <w:r w:rsidRPr="00F5652B">
        <w:rPr>
          <w:rFonts w:ascii="Times New Roman" w:hAnsi="Times New Roman" w:cs="Times New Roman"/>
          <w:sz w:val="24"/>
          <w:szCs w:val="24"/>
          <w:lang/>
        </w:rPr>
        <w:t xml:space="preserve"> is the time spent feeding in hours on that day (from the multi-day tag data);</w:t>
      </w:r>
    </w:p>
    <w:p w14:paraId="733E398B" w14:textId="77777777" w:rsidR="00BD77E6" w:rsidRPr="00F5652B" w:rsidRDefault="00BD77E6" w:rsidP="00517704">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 xml:space="preserve">M </w:t>
      </w:r>
      <w:r w:rsidRPr="00F5652B">
        <w:rPr>
          <w:rFonts w:ascii="Times New Roman" w:hAnsi="Times New Roman" w:cs="Times New Roman"/>
          <w:iCs/>
          <w:sz w:val="24"/>
          <w:szCs w:val="24"/>
          <w:lang/>
        </w:rPr>
        <w:t xml:space="preserve">is the whale’s mass in kg, and is equal to 4.6 </w:t>
      </w:r>
      <w:r w:rsidRPr="00F5652B">
        <w:rPr>
          <w:rFonts w:ascii="Times New Roman" w:hAnsi="Times New Roman" w:cs="Times New Roman"/>
          <w:sz w:val="24"/>
          <w:szCs w:val="24"/>
          <w:lang/>
        </w:rPr>
        <w:t>∙</w:t>
      </w:r>
      <w:r w:rsidRPr="00F5652B">
        <w:rPr>
          <w:rFonts w:ascii="Times New Roman" w:hAnsi="Times New Roman" w:cs="Times New Roman"/>
          <w:iCs/>
          <w:sz w:val="24"/>
          <w:szCs w:val="24"/>
          <w:lang/>
        </w:rPr>
        <w:t xml:space="preserve"> </w:t>
      </w:r>
      <w:r w:rsidRPr="00F5652B">
        <w:rPr>
          <w:rFonts w:ascii="Times New Roman" w:hAnsi="Times New Roman" w:cs="Times New Roman"/>
          <w:i/>
          <w:sz w:val="24"/>
          <w:szCs w:val="24"/>
          <w:lang/>
        </w:rPr>
        <w:t>L</w:t>
      </w:r>
      <w:r w:rsidRPr="00F5652B">
        <w:rPr>
          <w:rFonts w:ascii="Times New Roman" w:hAnsi="Times New Roman" w:cs="Times New Roman"/>
          <w:iCs/>
          <w:sz w:val="24"/>
          <w:szCs w:val="24"/>
          <w:vertAlign w:val="superscript"/>
          <w:lang/>
        </w:rPr>
        <w:t>3.05</w:t>
      </w:r>
      <w:r w:rsidRPr="00F5652B">
        <w:rPr>
          <w:rFonts w:ascii="Times New Roman" w:hAnsi="Times New Roman" w:cs="Times New Roman"/>
          <w:iCs/>
          <w:sz w:val="24"/>
          <w:szCs w:val="24"/>
          <w:lang/>
        </w:rPr>
        <w:t xml:space="preserve"> </w:t>
      </w:r>
      <w:r w:rsidRPr="00F5652B">
        <w:rPr>
          <w:rFonts w:ascii="Times New Roman" w:hAnsi="Times New Roman" w:cs="Times New Roman"/>
          <w:iCs/>
          <w:sz w:val="24"/>
          <w:szCs w:val="24"/>
          <w:lang/>
        </w:rPr>
        <w:fldChar w:fldCharType="begin" w:fldLock="1"/>
      </w:r>
      <w:r w:rsidRPr="00F5652B">
        <w:rPr>
          <w:rFonts w:ascii="Times New Roman" w:hAnsi="Times New Roman" w:cs="Times New Roman"/>
          <w:iCs/>
          <w:sz w:val="24"/>
          <w:szCs w:val="24"/>
          <w:lang/>
        </w:rPr>
        <w:instrText>ADDIN CSL_CITATION {"citationItems":[{"id":"ITEM-1","itemData":{"DOI":"10.1093/icesjms/36.3.259","ISBN":"0020-6466","ISSN":"10959289","abstract":"Body weight data for the large species of Cetacea: right, gray, blue, fin, Bryde, sei, humpback and minke whales, have been compiled from various sources, and used to formulate body weight/length relationships. All the cetacean body weights examined can be related to body length in the formu- lation W — aLb, where Wis body weight in tonnes and L is body length in m. Generally, the value of b falls within the range 30 ± 0-6 for the species examined. Weight/length formulae have been adjusted to allow for blood and fluid losses during flensing: 6% body weight in baleen whales and 10% body weight in the toothed sperm whale. These adjusted formulae have been used to calculate the biomass of the whale catches in the Antarctic since 1904. Comparisons of weight proportions of body tissues in different species show that right whales are the heaviest whales for a given length and carry the greatest proportion of blubber fat. The baleen whales of the genus Balaenoptera (blue, fin, Bryde, sei and minke) carry greater proportions of muscle tissue than the other species. Introduction","author":[{"dropping-particle":"","family":"Lockyer","given":"C.","non-dropping-particle":"","parse-names":false,"suffix":""}],"container-title":"ICES Journal of Marine Science","id":"ITEM-1","issue":"3","issued":{"date-parts":[["1976"]]},"page":"259-273","title":"Body weights of some species of large whales","type":"article-journal","volume":"36"},"uris":["http://www.mendeley.com/documents/?uuid=7a6efcb7-2e0d-4c6f-ac42-a065b55a17e1"]}],"mendeley":{"formattedCitation":"(Lockyer, 1976)","plainTextFormattedCitation":"(Lockyer, 1976)","previouslyFormattedCitation":"(Lockyer, 1976)"},"properties":{"noteIndex":0},"schema":"https://github.com/citation-style-language/schema/raw/master/csl-citation.json"}</w:instrText>
      </w:r>
      <w:r w:rsidRPr="00F5652B">
        <w:rPr>
          <w:rFonts w:ascii="Times New Roman" w:hAnsi="Times New Roman" w:cs="Times New Roman"/>
          <w:iCs/>
          <w:sz w:val="24"/>
          <w:szCs w:val="24"/>
          <w:lang/>
        </w:rPr>
        <w:fldChar w:fldCharType="separate"/>
      </w:r>
      <w:r w:rsidRPr="00F5652B">
        <w:rPr>
          <w:rFonts w:ascii="Times New Roman" w:hAnsi="Times New Roman" w:cs="Times New Roman"/>
          <w:iCs/>
          <w:noProof/>
          <w:sz w:val="24"/>
          <w:szCs w:val="24"/>
          <w:lang/>
        </w:rPr>
        <w:t>(Lockyer, 1976)</w:t>
      </w:r>
      <w:r w:rsidRPr="00F5652B">
        <w:rPr>
          <w:rFonts w:ascii="Times New Roman" w:hAnsi="Times New Roman" w:cs="Times New Roman"/>
          <w:iCs/>
          <w:sz w:val="24"/>
          <w:szCs w:val="24"/>
          <w:lang/>
        </w:rPr>
        <w:fldChar w:fldCharType="end"/>
      </w:r>
      <w:r w:rsidRPr="00F5652B">
        <w:rPr>
          <w:rFonts w:ascii="Times New Roman" w:hAnsi="Times New Roman" w:cs="Times New Roman"/>
          <w:iCs/>
          <w:sz w:val="24"/>
          <w:szCs w:val="24"/>
          <w:lang/>
        </w:rPr>
        <w:t xml:space="preserve">; </w:t>
      </w:r>
    </w:p>
    <w:p w14:paraId="35327AF0" w14:textId="77777777" w:rsidR="00BD77E6" w:rsidRPr="00F5652B" w:rsidRDefault="00BD77E6" w:rsidP="00517704">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sz w:val="24"/>
          <w:szCs w:val="24"/>
          <w:lang/>
        </w:rPr>
        <w:t xml:space="preserve">The multiplication by 3,600 is used to obtain J/h from W (= J/s), while the division by 1,000 is used to covert J to kJ. </w:t>
      </w:r>
    </w:p>
    <w:p w14:paraId="6CA32353" w14:textId="02B705AB"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sz w:val="24"/>
          <w:szCs w:val="24"/>
          <w:lang/>
        </w:rPr>
        <w:t>C</w:t>
      </w:r>
      <w:r w:rsidR="001872DB">
        <w:rPr>
          <w:rFonts w:ascii="Times New Roman" w:hAnsi="Times New Roman" w:cs="Times New Roman"/>
          <w:i/>
          <w:sz w:val="24"/>
          <w:szCs w:val="24"/>
          <w:vertAlign w:val="subscript"/>
          <w:lang/>
        </w:rPr>
        <w:t>o</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t</w:t>
      </w:r>
      <w:r w:rsidR="001872DB">
        <w:rPr>
          <w:rFonts w:ascii="Times New Roman" w:hAnsi="Times New Roman" w:cs="Times New Roman"/>
          <w:i/>
          <w:sz w:val="24"/>
          <w:szCs w:val="24"/>
          <w:vertAlign w:val="subscript"/>
          <w:lang/>
        </w:rPr>
        <w:t>o</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w:t>
      </w:r>
      <w:r w:rsidRPr="00F5652B">
        <w:rPr>
          <w:rFonts w:ascii="Times New Roman" w:hAnsi="Times New Roman" w:cs="Times New Roman"/>
          <w:sz w:val="24"/>
          <w:szCs w:val="24"/>
          <w:lang/>
        </w:rPr>
        <w:t xml:space="preserve"> ∙ </w:t>
      </w:r>
      <w:r w:rsidR="00DA73DC">
        <w:rPr>
          <w:rFonts w:ascii="Times New Roman" w:hAnsi="Times New Roman" w:cs="Times New Roman"/>
          <w:i/>
          <w:sz w:val="24"/>
          <w:szCs w:val="24"/>
          <w:lang/>
        </w:rPr>
        <w:t>O</w:t>
      </w:r>
      <w:r w:rsidRPr="00F5652B">
        <w:rPr>
          <w:rFonts w:ascii="Times New Roman" w:hAnsi="Times New Roman" w:cs="Times New Roman"/>
          <w:sz w:val="24"/>
          <w:szCs w:val="24"/>
          <w:lang/>
        </w:rPr>
        <w:t xml:space="preserve"> is the cost of </w:t>
      </w:r>
      <w:r w:rsidR="00517704" w:rsidRPr="00F5652B">
        <w:rPr>
          <w:rFonts w:ascii="Times New Roman" w:hAnsi="Times New Roman" w:cs="Times New Roman"/>
          <w:sz w:val="24"/>
          <w:szCs w:val="24"/>
          <w:lang/>
        </w:rPr>
        <w:t>other activities</w:t>
      </w:r>
      <w:r w:rsidRPr="00F5652B">
        <w:rPr>
          <w:rFonts w:ascii="Times New Roman" w:hAnsi="Times New Roman" w:cs="Times New Roman"/>
          <w:sz w:val="24"/>
          <w:szCs w:val="24"/>
          <w:lang/>
        </w:rPr>
        <w:t xml:space="preserve"> (kJ) on day </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where:</w:t>
      </w:r>
    </w:p>
    <w:p w14:paraId="498F14B2" w14:textId="37E77D15" w:rsidR="00BD77E6" w:rsidRPr="00F5652B" w:rsidRDefault="00DA73DC" w:rsidP="00517704">
      <w:pPr>
        <w:pStyle w:val="ListParagraph"/>
        <w:numPr>
          <w:ilvl w:val="0"/>
          <w:numId w:val="5"/>
        </w:numPr>
        <w:spacing w:line="480" w:lineRule="auto"/>
        <w:ind w:left="284" w:hanging="142"/>
        <w:jc w:val="both"/>
        <w:rPr>
          <w:rFonts w:ascii="Times New Roman" w:hAnsi="Times New Roman" w:cs="Times New Roman"/>
          <w:sz w:val="24"/>
          <w:szCs w:val="24"/>
          <w:lang/>
        </w:rPr>
      </w:pPr>
      <w:r>
        <w:rPr>
          <w:rFonts w:ascii="Times New Roman" w:hAnsi="Times New Roman" w:cs="Times New Roman"/>
          <w:i/>
          <w:sz w:val="24"/>
          <w:szCs w:val="24"/>
          <w:lang/>
        </w:rPr>
        <w:t>O</w:t>
      </w:r>
      <w:r w:rsidR="00BD77E6" w:rsidRPr="00704EF2">
        <w:rPr>
          <w:rFonts w:ascii="Times New Roman" w:hAnsi="Times New Roman" w:cs="Times New Roman"/>
          <w:sz w:val="24"/>
          <w:szCs w:val="24"/>
          <w:lang/>
        </w:rPr>
        <w:t xml:space="preserve"> </w:t>
      </w:r>
      <w:r w:rsidR="00BD77E6" w:rsidRPr="00F5652B">
        <w:rPr>
          <w:rFonts w:ascii="Times New Roman" w:hAnsi="Times New Roman" w:cs="Times New Roman"/>
          <w:sz w:val="24"/>
          <w:szCs w:val="24"/>
          <w:lang/>
        </w:rPr>
        <w:t xml:space="preserve">= 2 ∙ </w:t>
      </w:r>
      <w:r w:rsidR="00BD77E6" w:rsidRPr="00F5652B">
        <w:rPr>
          <w:rFonts w:ascii="Times New Roman" w:hAnsi="Times New Roman" w:cs="Times New Roman"/>
          <w:i/>
          <w:sz w:val="24"/>
          <w:szCs w:val="24"/>
          <w:lang/>
        </w:rPr>
        <w:t>BMR</w:t>
      </w:r>
      <w:r w:rsidR="00BD77E6" w:rsidRPr="00F5652B">
        <w:rPr>
          <w:rFonts w:ascii="Times New Roman" w:hAnsi="Times New Roman" w:cs="Times New Roman"/>
          <w:sz w:val="24"/>
          <w:szCs w:val="24"/>
          <w:lang/>
        </w:rPr>
        <w:t xml:space="preserve"> is the </w:t>
      </w:r>
      <w:r w:rsidR="00517704" w:rsidRPr="00F5652B">
        <w:rPr>
          <w:rFonts w:ascii="Times New Roman" w:hAnsi="Times New Roman" w:cs="Times New Roman"/>
          <w:sz w:val="24"/>
          <w:szCs w:val="24"/>
          <w:lang/>
        </w:rPr>
        <w:t>non-feeding</w:t>
      </w:r>
      <w:r w:rsidR="00BD77E6" w:rsidRPr="00F5652B">
        <w:rPr>
          <w:rFonts w:ascii="Times New Roman" w:hAnsi="Times New Roman" w:cs="Times New Roman"/>
          <w:sz w:val="24"/>
          <w:szCs w:val="24"/>
          <w:lang/>
        </w:rPr>
        <w:t xml:space="preserve"> metabolic rate in kJ/h </w:t>
      </w:r>
      <w:r w:rsidR="00BD77E6" w:rsidRPr="00F5652B">
        <w:rPr>
          <w:rFonts w:ascii="Times New Roman" w:hAnsi="Times New Roman" w:cs="Times New Roman"/>
          <w:sz w:val="24"/>
          <w:szCs w:val="24"/>
          <w:lang/>
        </w:rPr>
        <w:fldChar w:fldCharType="begin" w:fldLock="1"/>
      </w:r>
      <w:r w:rsidR="00BD77E6" w:rsidRPr="00F5652B">
        <w:rPr>
          <w:rFonts w:ascii="Times New Roman" w:hAnsi="Times New Roman" w:cs="Times New Roman"/>
          <w:sz w:val="24"/>
          <w:szCs w:val="24"/>
          <w:lang/>
        </w:rPr>
        <w:instrText>ADDIN CSL_CITATION {"citationItems":[{"id":"ITEM-1","itemData":{"DOI":"10.1371/journal.pone.0044854","ISBN":"1932-6203 (Electronic)\\r1932-6203 (Linking)","ISSN":"19326203","PMID":"23024769","abstract":"Bulk-filter feeding is an energetically efficient strategy for resource acquisition and assimilation, and facilitates the maintenance of extreme body size as exemplified by baleen whales (Mysticeti) and multiple lineages of bony and cartilaginous fishes. Among mysticetes, rorqual whales (Balaenopteridae) exhibit an intermittent ram filter feeding mode, lunge feeding, which requires the abandonment of body-streamlining in favor of a high-drag, mouth-open configuration aimed at engulfing a very large amount of prey-laden water. Particularly while lunge feeding on krill (the most widespread prey preference among rorquals), the effort required during engulfment involve short bouts of high-intensity muscle activity that demand high metabolic output. We used computational modeling together with morphological and kinematic data on humpback (Megaptera noveaangliae), fin (Balaenoptera physalus), blue (Balaenoptera musculus) and minke (Balaenoptera acutorostrata) whales to estimate engulfment power output in comparison with standard metrics of metabolic rate. The simulations reveal that engulfment metabolism increases across the full body size of the larger rorqual species to nearly 50 times the basal metabolic rate of terrestrial mammals of the same body mass. Moreover, they suggest that the metabolism of the largest body sizes runs with significant oxygen deficits during mouth opening, namely, 20% over maximum VO2 at the size of the largest blue whales, thus requiring significant contributions from anaerobic catabolism during a lunge and significant recovery after a lunge. Our analyses show that engulfment metabolism is also significantly lower for smaller adults, typically one-tenth to one-half VO2|max. These results not only point to a physiological limit on maximum body size in this lineage, but also have major implications for the ontogeny of extant rorquals as well as the evolutionary pathways used by ancestral toothed whales to transition from hunting individual prey items to filter feeding on prey aggregations.","author":[{"dropping-particle":"","family":"Potvin","given":"Jean","non-dropping-particle":"","parse-names":false,"suffix":""},{"dropping-particle":"","family":"Goldbogen","given":"Jeremy A.","non-dropping-particle":"","parse-names":false,"suffix":""},{"dropping-particle":"","family":"Shadwick","given":"Robert E.","non-dropping-particle":"","parse-names":false,"suffix":""}],"container-title":"PLoS ONE","id":"ITEM-1","issue":"9","issued":{"date-parts":[["2012"]]},"page":"e44854","title":"Metabolic expenditures of lunge feeding rorquals across scale: implications for the evolution of filter feeding and the limits to maximum body size","type":"article-journal","volume":"7"},"uris":["http://www.mendeley.com/documents/?uuid=6fb7df0b-1e72-44cf-945e-390bb6d0a20e"]}],"mendeley":{"formattedCitation":"(Potvin &lt;i&gt;et al.&lt;/i&gt;, 2012)","plainTextFormattedCitation":"(Potvin et al., 2012)","previouslyFormattedCitation":"(Potvin &lt;i&gt;et al.&lt;/i&gt;, 2012)"},"properties":{"noteIndex":0},"schema":"https://github.com/citation-style-language/schema/raw/master/csl-citation.json"}</w:instrText>
      </w:r>
      <w:r w:rsidR="00BD77E6" w:rsidRPr="00F5652B">
        <w:rPr>
          <w:rFonts w:ascii="Times New Roman" w:hAnsi="Times New Roman" w:cs="Times New Roman"/>
          <w:sz w:val="24"/>
          <w:szCs w:val="24"/>
          <w:lang/>
        </w:rPr>
        <w:fldChar w:fldCharType="separate"/>
      </w:r>
      <w:r w:rsidR="00BD77E6" w:rsidRPr="00F5652B">
        <w:rPr>
          <w:rFonts w:ascii="Times New Roman" w:hAnsi="Times New Roman" w:cs="Times New Roman"/>
          <w:noProof/>
          <w:sz w:val="24"/>
          <w:szCs w:val="24"/>
          <w:lang/>
        </w:rPr>
        <w:t xml:space="preserve">(Potvin </w:t>
      </w:r>
      <w:r w:rsidR="00BD77E6" w:rsidRPr="00F5652B">
        <w:rPr>
          <w:rFonts w:ascii="Times New Roman" w:hAnsi="Times New Roman" w:cs="Times New Roman"/>
          <w:i/>
          <w:noProof/>
          <w:sz w:val="24"/>
          <w:szCs w:val="24"/>
          <w:lang/>
        </w:rPr>
        <w:t>et al.</w:t>
      </w:r>
      <w:r w:rsidR="00BD77E6" w:rsidRPr="00F5652B">
        <w:rPr>
          <w:rFonts w:ascii="Times New Roman" w:hAnsi="Times New Roman" w:cs="Times New Roman"/>
          <w:noProof/>
          <w:sz w:val="24"/>
          <w:szCs w:val="24"/>
          <w:lang/>
        </w:rPr>
        <w:t>, 2012)</w:t>
      </w:r>
      <w:r w:rsidR="00BD77E6" w:rsidRPr="00F5652B">
        <w:rPr>
          <w:rFonts w:ascii="Times New Roman" w:hAnsi="Times New Roman" w:cs="Times New Roman"/>
          <w:sz w:val="24"/>
          <w:szCs w:val="24"/>
          <w:lang/>
        </w:rPr>
        <w:fldChar w:fldCharType="end"/>
      </w:r>
      <w:r w:rsidR="00BD77E6" w:rsidRPr="00F5652B">
        <w:rPr>
          <w:rFonts w:ascii="Times New Roman" w:hAnsi="Times New Roman" w:cs="Times New Roman"/>
          <w:sz w:val="24"/>
          <w:szCs w:val="24"/>
          <w:lang/>
        </w:rPr>
        <w:t>;</w:t>
      </w:r>
    </w:p>
    <w:p w14:paraId="1119E016" w14:textId="77777777" w:rsidR="00BD77E6" w:rsidRPr="00F5652B" w:rsidRDefault="00BD77E6" w:rsidP="00517704">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BMR</w:t>
      </w:r>
      <w:r w:rsidRPr="00F5652B">
        <w:rPr>
          <w:rFonts w:ascii="Times New Roman" w:hAnsi="Times New Roman" w:cs="Times New Roman"/>
          <w:sz w:val="24"/>
          <w:szCs w:val="24"/>
          <w:lang/>
        </w:rPr>
        <w:t xml:space="preserve"> = 4 ∙ </w:t>
      </w:r>
      <w:r w:rsidRPr="00F5652B">
        <w:rPr>
          <w:rFonts w:ascii="Times New Roman" w:hAnsi="Times New Roman" w:cs="Times New Roman"/>
          <w:i/>
          <w:iCs/>
          <w:sz w:val="24"/>
          <w:szCs w:val="24"/>
          <w:lang/>
        </w:rPr>
        <w:t>M</w:t>
      </w:r>
      <w:r w:rsidRPr="00F5652B">
        <w:rPr>
          <w:rFonts w:ascii="Times New Roman" w:hAnsi="Times New Roman" w:cs="Times New Roman"/>
          <w:sz w:val="24"/>
          <w:szCs w:val="24"/>
          <w:vertAlign w:val="superscript"/>
          <w:lang/>
        </w:rPr>
        <w:t xml:space="preserve">0.75 </w:t>
      </w:r>
      <w:r w:rsidRPr="00F5652B">
        <w:rPr>
          <w:rFonts w:ascii="Times New Roman" w:hAnsi="Times New Roman" w:cs="Times New Roman"/>
          <w:sz w:val="24"/>
          <w:szCs w:val="24"/>
          <w:lang/>
        </w:rPr>
        <w:t xml:space="preserve">∙ 3,600 / 1,000 is the hourly basal metabolic rate (kJ/h)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{"citationItems":[{"id":"ITEM-1","itemData":{"ISBN":"0882751611","abstract":"This book is not what I expected when I first saw the title. In part it is a teaching textbook, even with examples for the zealous student to test his own progress. In part it is a synthesis of historical findings, so that in perspective they make sense. In a very short part at the end it becomes almost the impassioned plea for wisdom in mankind that the title somehow seems to require. It is in 6 parts, 19 chapters, and has 28 appendices which occupy 58 out of the total of 401 pages of text. To dispose of the appendices first: the first ten and the twenty-fifth are statistical, the last named \" The twelve commandments of biostatistics \" which should be framed and hung in front of a number of people who think a paper is not complete without some \"statistical analysis \". The rest, up to 27, are physiological or physical. Number 11 deals with radioactivity of 40K in the human body, number 12 with Warburg's formula for thickness of tissue slices in microrespiration trials, and others with catabolism of fat and carbohydrate, energy equivalents, calorimetry, metabolic body size as W0.75 and the osmotic work of the human kidney. The last appendix gives practice problems and answers. An extraordinarily useful assembly of facts and formulae for anyone doing sums in energy metabolism. The true text of the book is a clear exposition of the laws governing energy metabolism. The parts deal, in sequence, with the evolution of bioenergetics, total starvation, the physical aspect of metabolism, the metabolism of the starving animal, food as fuel and food and population. The last two parts are, without doubt, the most interesting. To the physiologist probably Chapter 15 on the Calorigenic Effect of Food, with two sub-headings: \" Energy requirement a major source of confusion \", and \" The trend toward clear statements of observed results \" will be of special use; and to those concerned in applying science to animal production Chapter 18, on the Energetic Efficiency of Animal Production. Both physiologist and animal husbandman should have the book at hand. There is no other that puts so much useful information into so small and convenient a bulk. Throughout the book applications of the principles to the energy metabolism of man are introduced; Part 6 is concerned with the possible future of food supplies for man. It has an introduction which begins: \" Regarding life as a combustion process enables us to speculate on a possible limitation of human population by lack of fue…","author":[{"dropping-particle":"","family":"Kleiber","given":"Max","non-dropping-particle":"","parse-names":false,"suffix":""}],"id":"ITEM-1","issued":{"date-parts":[["1975"]]},"number-of-pages":"454","publisher":"R.E. Kteiger Publishing Co","publisher-place":"Huntington, NY","title":"The fire of life. An introduction to animal energetics.","type":"book"},"uris":["http://www.mendeley.com/documents/?uuid=77cb51ac-9bf6-417f-97be-9061d41dbdeb"]}],"mendeley":{"formattedCitation":"(Kleiber, 1975)","manualFormatting":"[Kleiber (1975","plainTextFormattedCitation":"(Kleiber, 1975)","previouslyFormattedCitation":"(Kleiber, 1975)"},"properties":{"noteIndex":0},"schema":"https://github.com/citation-style-language/schema/raw/master/csl-citation.json"}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[Kleiber (1975</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in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{"citationItems":[{"id":"ITEM-1","itemData":{"DOI":"10.1371/journal.pone.0044854","ISBN":"1932-6203 (Electronic)\\r1932-6203 (Linking)","ISSN":"19326203","PMID":"23024769","abstract":"Bulk-filter feeding is an energetically efficient strategy for resource acquisition and assimilation, and facilitates the maintenance of extreme body size as exemplified by baleen whales (Mysticeti) and multiple lineages of bony and cartilaginous fishes. Among mysticetes, rorqual whales (Balaenopteridae) exhibit an intermittent ram filter feeding mode, lunge feeding, which requires the abandonment of body-streamlining in favor of a high-drag, mouth-open configuration aimed at engulfing a very large amount of prey-laden water. Particularly while lunge feeding on krill (the most widespread prey preference among rorquals), the effort required during engulfment involve short bouts of high-intensity muscle activity that demand high metabolic output. We used computational modeling together with morphological and kinematic data on humpback (Megaptera noveaangliae), fin (Balaenoptera physalus), blue (Balaenoptera musculus) and minke (Balaenoptera acutorostrata) whales to estimate engulfment power output in comparison with standard metrics of metabolic rate. The simulations reveal that engulfment metabolism increases across the full body size of the larger rorqual species to nearly 50 times the basal metabolic rate of terrestrial mammals of the same body mass. Moreover, they suggest that the metabolism of the largest body sizes runs with significant oxygen deficits during mouth opening, namely, 20% over maximum VO2 at the size of the largest blue whales, thus requiring significant contributions from anaerobic catabolism during a lunge and significant recovery after a lunge. Our analyses show that engulfment metabolism is also significantly lower for smaller adults, typically one-tenth to one-half VO2|max. These results not only point to a physiological limit on maximum body size in this lineage, but also have major implications for the ontogeny of extant rorquals as well as the evolutionary pathways used by ancestral toothed whales to transition from hunting individual prey items to filter feeding on prey aggregations.","author":[{"dropping-particle":"","family":"Potvin","given":"Jean","non-dropping-particle":"","parse-names":false,"suffix":""},{"dropping-particle":"","family":"Goldbogen","given":"Jeremy A.","non-dropping-particle":"","parse-names":false,"suffix":""},{"dropping-particle":"","family":"Shadwick","given":"Robert E.","non-dropping-particle":"","parse-names":false,"suffix":""}],"container-title":"PLoS ONE","id":"ITEM-1","issue":"9","issued":{"date-parts":[["2012"]]},"page":"e44854","title":"Metabolic expenditures of lunge feeding rorquals across scale: implications for the evolution of filter feeding and the limits to maximum body size","type":"article-journal","volume":"7"},"uris":["http://www.mendeley.com/documents/?uuid=6fb7df0b-1e72-44cf-945e-390bb6d0a20e"]}],"mendeley":{"formattedCitation":"(Potvin &lt;i&gt;et al.&lt;/i&gt;, 2012)","manualFormatting":"Potvin et al. (2012)]","plainTextFormattedCitation":"(Potvin et al., 2012)","previouslyFormattedCitation":"(Potvin &lt;i&gt;et al.&lt;/i&gt;, 2012)"},"properties":{"noteIndex":0},"schema":"https://github.com/citation-style-language/schema/raw/master/csl-citation.json"}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 xml:space="preserve">Potvin </w:t>
      </w:r>
      <w:r w:rsidRPr="00F5652B">
        <w:rPr>
          <w:rFonts w:ascii="Times New Roman" w:hAnsi="Times New Roman" w:cs="Times New Roman"/>
          <w:i/>
          <w:iCs/>
          <w:noProof/>
          <w:sz w:val="24"/>
          <w:szCs w:val="24"/>
          <w:lang/>
        </w:rPr>
        <w:t>et al.</w:t>
      </w:r>
      <w:r w:rsidRPr="00F5652B">
        <w:rPr>
          <w:rFonts w:ascii="Times New Roman" w:hAnsi="Times New Roman" w:cs="Times New Roman"/>
          <w:noProof/>
          <w:sz w:val="24"/>
          <w:szCs w:val="24"/>
          <w:lang/>
        </w:rPr>
        <w:t xml:space="preserve"> (2012)]</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28B6634B" w14:textId="3295AD35" w:rsidR="00BD77E6" w:rsidRPr="00F5652B" w:rsidRDefault="001872DB" w:rsidP="00517704">
      <w:pPr>
        <w:pStyle w:val="ListParagraph"/>
        <w:numPr>
          <w:ilvl w:val="0"/>
          <w:numId w:val="5"/>
        </w:numPr>
        <w:spacing w:line="480" w:lineRule="auto"/>
        <w:ind w:left="284" w:hanging="142"/>
        <w:jc w:val="both"/>
        <w:rPr>
          <w:rFonts w:ascii="Times New Roman" w:hAnsi="Times New Roman" w:cs="Times New Roman"/>
          <w:sz w:val="24"/>
          <w:szCs w:val="24"/>
          <w:lang/>
        </w:rPr>
      </w:pPr>
      <w:r>
        <w:rPr>
          <w:rFonts w:ascii="Times New Roman" w:hAnsi="Times New Roman" w:cs="Times New Roman"/>
          <w:i/>
          <w:sz w:val="24"/>
          <w:szCs w:val="24"/>
          <w:lang/>
        </w:rPr>
        <w:t>t</w:t>
      </w:r>
      <w:r>
        <w:rPr>
          <w:rFonts w:ascii="Times New Roman" w:hAnsi="Times New Roman" w:cs="Times New Roman"/>
          <w:i/>
          <w:sz w:val="24"/>
          <w:szCs w:val="24"/>
          <w:vertAlign w:val="subscript"/>
          <w:lang/>
        </w:rPr>
        <w:t>o</w:t>
      </w:r>
      <w:r w:rsidR="00BD77E6" w:rsidRPr="00F5652B">
        <w:rPr>
          <w:rFonts w:ascii="Times New Roman" w:hAnsi="Times New Roman" w:cs="Times New Roman"/>
          <w:iCs/>
          <w:sz w:val="24"/>
          <w:szCs w:val="24"/>
          <w:lang/>
        </w:rPr>
        <w:t>(</w:t>
      </w:r>
      <w:r w:rsidR="00BD77E6" w:rsidRPr="00F5652B">
        <w:rPr>
          <w:rFonts w:ascii="Times New Roman" w:hAnsi="Times New Roman" w:cs="Times New Roman"/>
          <w:i/>
          <w:sz w:val="24"/>
          <w:szCs w:val="24"/>
          <w:lang/>
        </w:rPr>
        <w:t>d</w:t>
      </w:r>
      <w:r w:rsidR="00BD77E6" w:rsidRPr="00F5652B">
        <w:rPr>
          <w:rFonts w:ascii="Times New Roman" w:hAnsi="Times New Roman" w:cs="Times New Roman"/>
          <w:iCs/>
          <w:sz w:val="24"/>
          <w:szCs w:val="24"/>
          <w:lang/>
        </w:rPr>
        <w:t>)</w:t>
      </w:r>
      <w:r w:rsidR="00BD77E6" w:rsidRPr="00F5652B">
        <w:rPr>
          <w:rFonts w:ascii="Times New Roman" w:hAnsi="Times New Roman" w:cs="Times New Roman"/>
          <w:sz w:val="24"/>
          <w:szCs w:val="24"/>
          <w:lang/>
        </w:rPr>
        <w:t xml:space="preserve"> = 24 </w:t>
      </w:r>
      <w:r>
        <w:rPr>
          <w:rFonts w:ascii="Times New Roman" w:hAnsi="Times New Roman" w:cs="Times New Roman"/>
          <w:sz w:val="24"/>
          <w:szCs w:val="24"/>
          <w:lang/>
        </w:rPr>
        <w:t>–</w:t>
      </w:r>
      <w:r w:rsidR="00BD77E6" w:rsidRPr="00F5652B">
        <w:rPr>
          <w:rFonts w:ascii="Times New Roman" w:hAnsi="Times New Roman" w:cs="Times New Roman"/>
          <w:sz w:val="24"/>
          <w:szCs w:val="24"/>
          <w:lang/>
        </w:rPr>
        <w:t xml:space="preserve"> </w:t>
      </w:r>
      <w:r w:rsidR="00BD77E6" w:rsidRPr="00F5652B">
        <w:rPr>
          <w:rFonts w:ascii="Times New Roman" w:hAnsi="Times New Roman" w:cs="Times New Roman"/>
          <w:i/>
          <w:sz w:val="24"/>
          <w:szCs w:val="24"/>
          <w:lang/>
        </w:rPr>
        <w:t>t</w:t>
      </w:r>
      <w:r w:rsidR="00BD77E6" w:rsidRPr="00F5652B">
        <w:rPr>
          <w:rFonts w:ascii="Times New Roman" w:hAnsi="Times New Roman" w:cs="Times New Roman"/>
          <w:i/>
          <w:sz w:val="24"/>
          <w:szCs w:val="24"/>
          <w:vertAlign w:val="subscript"/>
          <w:lang/>
        </w:rPr>
        <w:t>f</w:t>
      </w:r>
      <w:r w:rsidR="00BD77E6" w:rsidRPr="00F5652B">
        <w:rPr>
          <w:rFonts w:ascii="Times New Roman" w:hAnsi="Times New Roman" w:cs="Times New Roman"/>
          <w:iCs/>
          <w:sz w:val="24"/>
          <w:szCs w:val="24"/>
          <w:lang/>
        </w:rPr>
        <w:t>(</w:t>
      </w:r>
      <w:r w:rsidR="00BD77E6" w:rsidRPr="00F5652B">
        <w:rPr>
          <w:rFonts w:ascii="Times New Roman" w:hAnsi="Times New Roman" w:cs="Times New Roman"/>
          <w:i/>
          <w:sz w:val="24"/>
          <w:szCs w:val="24"/>
          <w:lang/>
        </w:rPr>
        <w:t>d</w:t>
      </w:r>
      <w:r w:rsidR="00BD77E6" w:rsidRPr="00F5652B">
        <w:rPr>
          <w:rFonts w:ascii="Times New Roman" w:hAnsi="Times New Roman" w:cs="Times New Roman"/>
          <w:iCs/>
          <w:sz w:val="24"/>
          <w:szCs w:val="24"/>
          <w:lang/>
        </w:rPr>
        <w:t>)</w:t>
      </w:r>
      <w:r w:rsidR="00BD77E6" w:rsidRPr="00F5652B">
        <w:rPr>
          <w:rFonts w:ascii="Times New Roman" w:hAnsi="Times New Roman" w:cs="Times New Roman"/>
          <w:sz w:val="24"/>
          <w:szCs w:val="24"/>
          <w:lang/>
        </w:rPr>
        <w:t xml:space="preserve"> is the time spent </w:t>
      </w:r>
      <w:r w:rsidR="00517704" w:rsidRPr="00F5652B">
        <w:rPr>
          <w:rFonts w:ascii="Times New Roman" w:hAnsi="Times New Roman" w:cs="Times New Roman"/>
          <w:sz w:val="24"/>
          <w:szCs w:val="24"/>
          <w:lang/>
        </w:rPr>
        <w:t>not feeding</w:t>
      </w:r>
      <w:r w:rsidR="00155A36">
        <w:rPr>
          <w:rFonts w:ascii="Times New Roman" w:hAnsi="Times New Roman" w:cs="Times New Roman"/>
          <w:sz w:val="24"/>
          <w:szCs w:val="24"/>
          <w:lang/>
        </w:rPr>
        <w:t>,</w:t>
      </w:r>
      <w:r w:rsidR="00BD77E6" w:rsidRPr="00F5652B">
        <w:rPr>
          <w:rFonts w:ascii="Times New Roman" w:hAnsi="Times New Roman" w:cs="Times New Roman"/>
          <w:sz w:val="24"/>
          <w:szCs w:val="24"/>
          <w:lang/>
        </w:rPr>
        <w:t xml:space="preserve"> in hours.</w:t>
      </w:r>
    </w:p>
    <w:p w14:paraId="780BE9AB" w14:textId="1A4E1B4E"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iCs/>
          <w:sz w:val="24"/>
          <w:szCs w:val="24"/>
          <w:lang/>
        </w:rPr>
        <w:t>N</w:t>
      </w:r>
      <w:r w:rsidRPr="00F5652B">
        <w:rPr>
          <w:rFonts w:ascii="Times New Roman" w:hAnsi="Times New Roman" w:cs="Times New Roman"/>
          <w:sz w:val="24"/>
          <w:szCs w:val="24"/>
          <w:lang/>
        </w:rPr>
        <w:t>(</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E</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 xml:space="preserve">) </w:t>
      </w:r>
      <w:r w:rsidR="001872DB">
        <w:rPr>
          <w:rFonts w:ascii="Times New Roman" w:hAnsi="Times New Roman" w:cs="Times New Roman"/>
          <w:sz w:val="24"/>
          <w:szCs w:val="24"/>
          <w:lang/>
        </w:rPr>
        <w:t>–</w:t>
      </w:r>
      <w:r w:rsidRPr="00F5652B">
        <w:rPr>
          <w:rFonts w:ascii="Times New Roman" w:hAnsi="Times New Roman" w:cs="Times New Roman"/>
          <w:iCs/>
          <w:sz w:val="24"/>
          <w:szCs w:val="24"/>
          <w:lang/>
        </w:rPr>
        <w:t xml:space="preserve"> </w:t>
      </w:r>
      <w:r w:rsidRPr="00F5652B">
        <w:rPr>
          <w:rFonts w:ascii="Times New Roman" w:hAnsi="Times New Roman" w:cs="Times New Roman"/>
          <w:i/>
          <w:sz w:val="24"/>
          <w:szCs w:val="24"/>
          <w:lang/>
        </w:rPr>
        <w:t>C</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xml:space="preserve">) </w:t>
      </w:r>
      <w:r w:rsidR="001872DB">
        <w:rPr>
          <w:rFonts w:ascii="Times New Roman" w:hAnsi="Times New Roman" w:cs="Times New Roman"/>
          <w:sz w:val="24"/>
          <w:szCs w:val="24"/>
          <w:lang/>
        </w:rPr>
        <w:t>–</w:t>
      </w:r>
      <w:r w:rsidRPr="00F5652B">
        <w:rPr>
          <w:rFonts w:ascii="Times New Roman" w:hAnsi="Times New Roman" w:cs="Times New Roman"/>
          <w:sz w:val="24"/>
          <w:szCs w:val="24"/>
          <w:lang/>
        </w:rPr>
        <w:t xml:space="preserve"> </w:t>
      </w:r>
      <w:r w:rsidRPr="00F5652B">
        <w:rPr>
          <w:rFonts w:ascii="Times New Roman" w:hAnsi="Times New Roman" w:cs="Times New Roman"/>
          <w:i/>
          <w:sz w:val="24"/>
          <w:szCs w:val="24"/>
          <w:lang/>
        </w:rPr>
        <w:t>C</w:t>
      </w:r>
      <w:r w:rsidR="001872DB">
        <w:rPr>
          <w:rFonts w:ascii="Times New Roman" w:hAnsi="Times New Roman" w:cs="Times New Roman"/>
          <w:i/>
          <w:sz w:val="24"/>
          <w:szCs w:val="24"/>
          <w:vertAlign w:val="subscript"/>
          <w:lang/>
        </w:rPr>
        <w:t>o</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sz w:val="24"/>
          <w:szCs w:val="24"/>
          <w:lang/>
        </w:rPr>
        <w:t xml:space="preserve">) is the net energy intake on day </w:t>
      </w:r>
      <w:r w:rsidRPr="00F5652B">
        <w:rPr>
          <w:rFonts w:ascii="Times New Roman" w:hAnsi="Times New Roman" w:cs="Times New Roman"/>
          <w:i/>
          <w:iCs/>
          <w:sz w:val="24"/>
          <w:szCs w:val="24"/>
          <w:lang/>
        </w:rPr>
        <w:t xml:space="preserve">d </w:t>
      </w:r>
      <w:r w:rsidRPr="00F5652B">
        <w:rPr>
          <w:rFonts w:ascii="Times New Roman" w:hAnsi="Times New Roman" w:cs="Times New Roman"/>
          <w:sz w:val="24"/>
          <w:szCs w:val="24"/>
          <w:lang/>
        </w:rPr>
        <w:t xml:space="preserve">in undisturbed conditions (i.e., acquired minus expended energy). Disturbance affects both the energy acquired (i.e., </w:t>
      </w:r>
      <w:r w:rsidRPr="00F5652B">
        <w:rPr>
          <w:rFonts w:ascii="Times New Roman" w:hAnsi="Times New Roman" w:cs="Times New Roman"/>
          <w:i/>
          <w:sz w:val="24"/>
          <w:szCs w:val="24"/>
          <w:lang/>
        </w:rPr>
        <w:t>E</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 xml:space="preserve">) is reduced to account for lost energy) </w:t>
      </w:r>
      <w:r w:rsidRPr="00F5652B">
        <w:rPr>
          <w:rFonts w:ascii="Times New Roman" w:hAnsi="Times New Roman" w:cs="Times New Roman"/>
          <w:sz w:val="24"/>
          <w:szCs w:val="24"/>
          <w:lang/>
        </w:rPr>
        <w:t xml:space="preserve">and the energy expended (i.e., </w:t>
      </w:r>
      <w:r w:rsidRPr="00F5652B">
        <w:rPr>
          <w:rFonts w:ascii="Times New Roman" w:hAnsi="Times New Roman" w:cs="Times New Roman"/>
          <w:i/>
          <w:sz w:val="24"/>
          <w:szCs w:val="24"/>
          <w:lang/>
        </w:rPr>
        <w:t>t</w:t>
      </w:r>
      <w:r w:rsidRPr="00F5652B">
        <w:rPr>
          <w:rFonts w:ascii="Times New Roman" w:hAnsi="Times New Roman" w:cs="Times New Roman"/>
          <w:i/>
          <w:sz w:val="24"/>
          <w:szCs w:val="24"/>
          <w:vertAlign w:val="subscript"/>
          <w:lang/>
        </w:rPr>
        <w:t>f</w:t>
      </w:r>
      <w:r w:rsidRPr="00F5652B">
        <w:rPr>
          <w:rFonts w:ascii="Times New Roman" w:hAnsi="Times New Roman" w:cs="Times New Roman"/>
          <w:iCs/>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iCs/>
          <w:sz w:val="24"/>
          <w:szCs w:val="24"/>
          <w:lang/>
        </w:rPr>
        <w:t xml:space="preserve">) is reduced to account for lost feeding time, affecting both </w:t>
      </w:r>
      <w:r w:rsidRPr="00F5652B">
        <w:rPr>
          <w:rFonts w:ascii="Times New Roman" w:hAnsi="Times New Roman" w:cs="Times New Roman"/>
          <w:i/>
          <w:sz w:val="24"/>
          <w:szCs w:val="24"/>
          <w:lang/>
        </w:rPr>
        <w:t>C</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iCs/>
          <w:sz w:val="24"/>
          <w:szCs w:val="24"/>
          <w:lang/>
        </w:rPr>
        <w:t>d</w:t>
      </w:r>
      <w:r w:rsidRPr="00F5652B">
        <w:rPr>
          <w:rFonts w:ascii="Times New Roman" w:hAnsi="Times New Roman" w:cs="Times New Roman"/>
          <w:sz w:val="24"/>
          <w:szCs w:val="24"/>
          <w:lang/>
        </w:rPr>
        <w:t xml:space="preserve">) and </w:t>
      </w:r>
      <w:r w:rsidRPr="00F5652B">
        <w:rPr>
          <w:rFonts w:ascii="Times New Roman" w:hAnsi="Times New Roman" w:cs="Times New Roman"/>
          <w:i/>
          <w:sz w:val="24"/>
          <w:szCs w:val="24"/>
          <w:lang/>
        </w:rPr>
        <w:t>C</w:t>
      </w:r>
      <w:r w:rsidR="001872DB">
        <w:rPr>
          <w:rFonts w:ascii="Times New Roman" w:hAnsi="Times New Roman" w:cs="Times New Roman"/>
          <w:i/>
          <w:sz w:val="24"/>
          <w:szCs w:val="24"/>
          <w:vertAlign w:val="subscript"/>
          <w:lang/>
        </w:rPr>
        <w:t>o</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d</w:t>
      </w:r>
      <w:r w:rsidRPr="00F5652B">
        <w:rPr>
          <w:rFonts w:ascii="Times New Roman" w:hAnsi="Times New Roman" w:cs="Times New Roman"/>
          <w:sz w:val="24"/>
          <w:szCs w:val="24"/>
          <w:lang/>
        </w:rPr>
        <w:t>)</w:t>
      </w:r>
      <w:r w:rsidRPr="00F5652B">
        <w:rPr>
          <w:rFonts w:ascii="Times New Roman" w:hAnsi="Times New Roman" w:cs="Times New Roman"/>
          <w:iCs/>
          <w:sz w:val="24"/>
          <w:szCs w:val="24"/>
          <w:lang/>
        </w:rPr>
        <w:t>).</w:t>
      </w:r>
    </w:p>
    <w:p w14:paraId="7C103283" w14:textId="069C5BB7"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sz w:val="24"/>
          <w:szCs w:val="24"/>
          <w:lang/>
        </w:rPr>
        <w:lastRenderedPageBreak/>
        <w:t>α</w:t>
      </w:r>
      <w:r w:rsidRPr="00F5652B">
        <w:rPr>
          <w:rFonts w:ascii="Times New Roman" w:hAnsi="Times New Roman" w:cs="Times New Roman"/>
          <w:i/>
          <w:sz w:val="24"/>
          <w:szCs w:val="24"/>
          <w:vertAlign w:val="subscript"/>
          <w:lang/>
        </w:rPr>
        <w:t>g</w:t>
      </w:r>
      <w:r w:rsidRPr="00F5652B">
        <w:rPr>
          <w:rFonts w:ascii="Times New Roman" w:hAnsi="Times New Roman" w:cs="Times New Roman"/>
          <w:sz w:val="24"/>
          <w:szCs w:val="24"/>
          <w:lang/>
        </w:rPr>
        <w:t>(</w:t>
      </w:r>
      <w:r w:rsidRPr="00F5652B">
        <w:rPr>
          <w:rFonts w:ascii="Times New Roman" w:hAnsi="Times New Roman" w:cs="Times New Roman"/>
          <w:i/>
          <w:iCs/>
          <w:sz w:val="24"/>
          <w:szCs w:val="24"/>
          <w:lang/>
        </w:rPr>
        <w:t>g</w:t>
      </w:r>
      <w:r w:rsidRPr="00F5652B">
        <w:rPr>
          <w:rFonts w:ascii="Times New Roman" w:hAnsi="Times New Roman" w:cs="Times New Roman"/>
          <w:sz w:val="24"/>
          <w:szCs w:val="24"/>
          <w:lang/>
        </w:rPr>
        <w:t>) = Δ</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c</w:t>
      </w:r>
      <w:r w:rsidRPr="00F5652B">
        <w:rPr>
          <w:rFonts w:ascii="Times New Roman" w:hAnsi="Times New Roman" w:cs="Times New Roman"/>
          <w:i/>
          <w:sz w:val="24"/>
          <w:szCs w:val="24"/>
          <w:vertAlign w:val="subscript"/>
          <w:lang/>
        </w:rPr>
        <w:t>f</w:t>
      </w:r>
      <w:r w:rsidRPr="00C550FE">
        <w:rPr>
          <w:rFonts w:ascii="Times New Roman" w:hAnsi="Times New Roman" w:cs="Times New Roman"/>
          <w:sz w:val="24"/>
          <w:szCs w:val="24"/>
          <w:lang/>
        </w:rPr>
        <w:t xml:space="preserve"> </w:t>
      </w:r>
      <w:r w:rsidRPr="00F5652B">
        <w:rPr>
          <w:rFonts w:ascii="Times New Roman" w:hAnsi="Times New Roman" w:cs="Times New Roman"/>
          <w:sz w:val="24"/>
          <w:szCs w:val="24"/>
          <w:lang/>
        </w:rPr>
        <w:t xml:space="preserve">+ </w:t>
      </w:r>
      <w:r w:rsidRPr="00F5652B">
        <w:rPr>
          <w:rFonts w:ascii="Times New Roman" w:hAnsi="Times New Roman" w:cs="Times New Roman"/>
          <w:i/>
          <w:sz w:val="24"/>
          <w:szCs w:val="24"/>
          <w:lang/>
        </w:rPr>
        <w:t>h</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is the daily cost of gestation on day of gestation </w:t>
      </w:r>
      <w:r w:rsidRPr="00F5652B">
        <w:rPr>
          <w:rFonts w:ascii="Times New Roman" w:hAnsi="Times New Roman" w:cs="Times New Roman"/>
          <w:i/>
          <w:iCs/>
          <w:sz w:val="24"/>
          <w:szCs w:val="24"/>
          <w:lang/>
        </w:rPr>
        <w:t>g</w:t>
      </w:r>
      <w:r w:rsidRPr="00F5652B">
        <w:rPr>
          <w:rFonts w:ascii="Times New Roman" w:hAnsi="Times New Roman" w:cs="Times New Roman"/>
          <w:sz w:val="24"/>
          <w:szCs w:val="24"/>
          <w:lang/>
        </w:rPr>
        <w:t>, where:</w:t>
      </w:r>
    </w:p>
    <w:p w14:paraId="146ED34A" w14:textId="5497A138" w:rsidR="00BD77E6" w:rsidRPr="00F5652B" w:rsidRDefault="00BD77E6" w:rsidP="00155A36">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sz w:val="24"/>
          <w:szCs w:val="24"/>
          <w:lang/>
        </w:rPr>
        <w:t>Δ</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w:t>
      </w:r>
      <w:r w:rsidR="00E62B48">
        <w:rPr>
          <w:rFonts w:ascii="Times New Roman" w:hAnsi="Times New Roman" w:cs="Times New Roman"/>
          <w:sz w:val="24"/>
          <w:szCs w:val="24"/>
          <w:lang/>
        </w:rPr>
        <w:t>–</w:t>
      </w:r>
      <w:r w:rsidRPr="00F5652B">
        <w:rPr>
          <w:rFonts w:ascii="Times New Roman" w:hAnsi="Times New Roman" w:cs="Times New Roman"/>
          <w:sz w:val="24"/>
          <w:szCs w:val="24"/>
          <w:lang/>
        </w:rPr>
        <w:t xml:space="preserve"> </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 xml:space="preserve">g </w:t>
      </w:r>
      <w:r w:rsidR="00E62B48">
        <w:rPr>
          <w:rFonts w:ascii="Times New Roman" w:hAnsi="Times New Roman" w:cs="Times New Roman"/>
          <w:sz w:val="24"/>
          <w:szCs w:val="24"/>
          <w:lang/>
        </w:rPr>
        <w:t>–</w:t>
      </w:r>
      <w:r w:rsidRPr="00F5652B">
        <w:rPr>
          <w:rFonts w:ascii="Times New Roman" w:hAnsi="Times New Roman" w:cs="Times New Roman"/>
          <w:sz w:val="24"/>
          <w:szCs w:val="24"/>
          <w:lang/>
        </w:rPr>
        <w:t xml:space="preserve"> 1) is the change in weight of the </w:t>
      </w:r>
      <w:r w:rsidR="00F5652B" w:rsidRPr="00F5652B">
        <w:rPr>
          <w:rFonts w:ascii="Times New Roman" w:hAnsi="Times New Roman" w:cs="Times New Roman"/>
          <w:sz w:val="24"/>
          <w:szCs w:val="24"/>
          <w:lang/>
        </w:rPr>
        <w:t>foetus</w:t>
      </w:r>
      <w:r w:rsidRPr="00F5652B">
        <w:rPr>
          <w:rFonts w:ascii="Times New Roman" w:hAnsi="Times New Roman" w:cs="Times New Roman"/>
          <w:sz w:val="24"/>
          <w:szCs w:val="24"/>
          <w:lang/>
        </w:rPr>
        <w:t xml:space="preserve"> from the previous day, given the weight of the </w:t>
      </w:r>
      <w:r w:rsidR="00F5652B" w:rsidRPr="00F5652B">
        <w:rPr>
          <w:rFonts w:ascii="Times New Roman" w:hAnsi="Times New Roman" w:cs="Times New Roman"/>
          <w:sz w:val="24"/>
          <w:szCs w:val="24"/>
          <w:lang/>
        </w:rPr>
        <w:t>foetus</w:t>
      </w:r>
      <w:r w:rsidRPr="00F5652B">
        <w:rPr>
          <w:rFonts w:ascii="Times New Roman" w:hAnsi="Times New Roman" w:cs="Times New Roman"/>
          <w:sz w:val="24"/>
          <w:szCs w:val="24"/>
          <w:lang/>
        </w:rPr>
        <w:t xml:space="preserve"> on day </w:t>
      </w:r>
      <w:r w:rsidRPr="00F5652B">
        <w:rPr>
          <w:rFonts w:ascii="Times New Roman" w:hAnsi="Times New Roman" w:cs="Times New Roman"/>
          <w:i/>
          <w:iCs/>
          <w:sz w:val="24"/>
          <w:szCs w:val="24"/>
          <w:lang/>
        </w:rPr>
        <w:t>g</w:t>
      </w:r>
      <w:r w:rsidR="00C550FE">
        <w:rPr>
          <w:rFonts w:ascii="Times New Roman" w:hAnsi="Times New Roman" w:cs="Times New Roman"/>
          <w:i/>
          <w:iCs/>
          <w:sz w:val="24"/>
          <w:szCs w:val="24"/>
          <w:lang/>
        </w:rPr>
        <w:t>,</w:t>
      </w:r>
      <w:r w:rsidRPr="00F5652B">
        <w:rPr>
          <w:rFonts w:ascii="Times New Roman" w:hAnsi="Times New Roman" w:cs="Times New Roman"/>
          <w:sz w:val="24"/>
          <w:szCs w:val="24"/>
          <w:lang/>
        </w:rPr>
        <w:t xml:space="preserve"> </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 [0.52 ∙ (</w:t>
      </w:r>
      <w:r w:rsidRPr="00F5652B">
        <w:rPr>
          <w:rFonts w:ascii="Times New Roman" w:hAnsi="Times New Roman" w:cs="Times New Roman"/>
          <w:i/>
          <w:sz w:val="24"/>
          <w:szCs w:val="24"/>
          <w:lang/>
        </w:rPr>
        <w:t xml:space="preserve">g </w:t>
      </w:r>
      <w:r w:rsidR="00E62B48">
        <w:rPr>
          <w:rFonts w:ascii="Times New Roman" w:hAnsi="Times New Roman" w:cs="Times New Roman"/>
          <w:sz w:val="24"/>
          <w:szCs w:val="24"/>
          <w:lang/>
        </w:rPr>
        <w:t>–</w:t>
      </w:r>
      <w:r w:rsidRPr="00F5652B">
        <w:rPr>
          <w:rFonts w:ascii="Times New Roman" w:hAnsi="Times New Roman" w:cs="Times New Roman"/>
          <w:sz w:val="24"/>
          <w:szCs w:val="24"/>
          <w:lang/>
        </w:rPr>
        <w:t xml:space="preserve"> 73)]</w:t>
      </w:r>
      <w:r w:rsidRPr="00F5652B">
        <w:rPr>
          <w:rFonts w:ascii="Times New Roman" w:hAnsi="Times New Roman" w:cs="Times New Roman"/>
          <w:sz w:val="24"/>
          <w:szCs w:val="24"/>
          <w:vertAlign w:val="superscript"/>
          <w:lang/>
        </w:rPr>
        <w:t xml:space="preserve">3 </w:t>
      </w:r>
      <w:r w:rsidRPr="00F5652B">
        <w:rPr>
          <w:rFonts w:ascii="Times New Roman" w:hAnsi="Times New Roman" w:cs="Times New Roman"/>
          <w:sz w:val="24"/>
          <w:szCs w:val="24"/>
          <w:lang/>
        </w:rPr>
        <w:t>/ 1,000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{"citationItems":[{"id":"ITEM-1","itemData":{"abstract":"Sheep foetal weight and length data have been collected for the purpose of checking foetal age and in the course of this work it has been found that the cube root of the foetal weight gave a linear plot with age from the 50th day of pregnancy to full term. The purpose of this paper is to describe this result and to indicate how the cube root relationship may be extended to other mammalian data, and to discuss its significance in comparative foetal physiology. Early attempts to find empirical formulae relating foetal weights to age from conception have been extensively reviewed by Needham (1931). The majority of these involved a linear relationship between weight and a power (approximately the third power) of the time or, alternatively, a relation between time and a cube or higher root of the foetal weight. Greater precision was brought to such formulae by McDowell, Allen &amp; McDowell (1927) who introduced the concept of embryo age and obtained a formula, essentially of the power type, relating log weight and log embryo age. The embryo age was arbitrarily determined to commence with the appearance of the primitive streak (7.2 days for mouse embryos, 12 days for guinea-pigs), and the powers obtained varied from 3-65 to 3-99 for the mouse and guinea-pig respectively. The power obtained in this way is very sensitive to small changes in the arbitrarily fixed zero embryo age which has no sound physiological basis. If a steady state of growth exists during foetal development one would expect it to be most free from complications when the foetus has the environ-mental stability such as provided by an established placental circulation. It would be an advantage therefore if weight and age data for the last half or two-thirds of pregnancy could be represented without using the arbitrary expedients necessary with logarithms. This problem faced us in our endeavour to obtain a representation of collected data of weights and lengths of foetuses from Welsh ewes, which could be used for checking foetal ages.","author":[{"dropping-particle":"","family":"Huggett","given":"A St G","non-dropping-particle":"","parse-names":false,"suffix":""},{"dropping-particle":"","family":"Widdas","given":"W F","non-dropping-particle":"","parse-names":false,"suffix":""}],"container-title":"Journal of Physiology","id":"ITEM-1","issued":{"date-parts":[["1950"]]},"page":"306-303","title":"The relationship between mammalian foetal weight and conception age","type":"article-journal","volume":"4"},"uris":["http://www.mendeley.com/documents/?uuid=d1f17866-f2b6-45a7-9265-921c61c4e9ec"]}],"mendeley":{"formattedCitation":"(Huggett and Widdas, 1950)","manualFormatting":"Huggett and Widdas (1950)","plainTextFormattedCitation":"(Huggett and Widdas, 1950)","previouslyFormattedCitation":"(Huggett and Widdas 1950)"},"properties":{"noteIndex":0},"schema":"https://github.com/citation-style-language/schema/raw/master/csl-citation.json"}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Huggett and Widdas (1950)</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in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{"citationItems":[{"id":"ITEM-1","itemData":{"ISBN":"9251005133","abstract":"Five balaenopterid species frequent the Antarctic Ocean for a few months each year: blue Balaenoptera musculus, fin B. physalus, sei B. borealis, minke B. acutorostrata and humpback Megaptera novaeangliae. Growth, development, migration, seasonal feeding and fattening, metabolism and energy budgets for blue and fin whales are discussed in detail, and comparisons with sei, minke and humpback whales are made whenever data are available. -from Current Antarctic Literature","author":[{"dropping-particle":"","family":"Lockyer","given":"C.","non-dropping-particle":"","parse-names":false,"suffix":""}],"container-title":"Mammals in the seas (FAO Fisheries Series no. 5)","id":"ITEM-1","issued":{"date-parts":[["1981"]]},"page":"379-487","title":"Growth and energy budgets of large baleen whales from the Southern Hemisphere","type":"article-journal","volume":"3"},"uris":["http://www.mendeley.com/documents/?uuid=25963aff-cae2-465a-8b33-0bce9964c2b9"]}],"mendeley":{"formattedCitation":"(Lockyer, 1981)","manualFormatting":"Lockyer (1981)","plainTextFormattedCitation":"(Lockyer, 1981)","previouslyFormattedCitation":"(Lockyer 1981)"},"properties":{"noteIndex":0},"schema":"https://github.com/citation-style-language/schema/raw/master/csl-citation.json"}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Lockyer (1981)</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7AAC6F8F" w14:textId="092D94B1" w:rsidR="00BD77E6" w:rsidRPr="00F5652B" w:rsidRDefault="00BD77E6" w:rsidP="00155A36">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c</w:t>
      </w:r>
      <w:r w:rsidRPr="00F5652B">
        <w:rPr>
          <w:rFonts w:ascii="Times New Roman" w:hAnsi="Times New Roman" w:cs="Times New Roman"/>
          <w:i/>
          <w:sz w:val="24"/>
          <w:szCs w:val="24"/>
          <w:vertAlign w:val="subscript"/>
          <w:lang/>
        </w:rPr>
        <w:t>f</w:t>
      </w:r>
      <w:r w:rsidR="00C2580B">
        <w:rPr>
          <w:rFonts w:ascii="Times New Roman" w:hAnsi="Times New Roman" w:cs="Times New Roman"/>
          <w:sz w:val="24"/>
          <w:szCs w:val="24"/>
          <w:lang/>
        </w:rPr>
        <w:t xml:space="preserve"> </w:t>
      </w:r>
      <w:r w:rsidRPr="00F5652B">
        <w:rPr>
          <w:rFonts w:ascii="Times New Roman" w:hAnsi="Times New Roman" w:cs="Times New Roman"/>
          <w:sz w:val="24"/>
          <w:szCs w:val="24"/>
          <w:lang/>
        </w:rPr>
        <w:t xml:space="preserve">= 12,301 kJ/kg is the cost of pregnancy per unit of </w:t>
      </w:r>
      <w:r w:rsidR="00F5652B" w:rsidRPr="00F5652B">
        <w:rPr>
          <w:rFonts w:ascii="Times New Roman" w:hAnsi="Times New Roman" w:cs="Times New Roman"/>
          <w:sz w:val="24"/>
          <w:szCs w:val="24"/>
          <w:lang/>
        </w:rPr>
        <w:t>foetus</w:t>
      </w:r>
      <w:r w:rsidRPr="00F5652B">
        <w:rPr>
          <w:rFonts w:ascii="Times New Roman" w:hAnsi="Times New Roman" w:cs="Times New Roman"/>
          <w:sz w:val="24"/>
          <w:szCs w:val="24"/>
          <w:lang/>
        </w:rPr>
        <w:t xml:space="preserve"> weight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{"citationItems":[{"id":"ITEM-1","itemData":{"ISBN":"9251005133","abstract":"Five balaenopterid species frequent the Antarctic Ocean for a few months each year: blue Balaenoptera musculus, fin B. physalus, sei B. borealis, minke B. acutorostrata and humpback Megaptera novaeangliae. Growth, development, migration, seasonal feeding and fattening, metabolism and energy budgets for blue and fin whales are discussed in detail, and comparisons with sei, minke and humpback whales are made whenever data are available. -from Current Antarctic Literature","author":[{"dropping-particle":"","family":"Lockyer","given":"C.","non-dropping-particle":"","parse-names":false,"suffix":""}],"container-title":"Mammals in the seas (FAO Fisheries Series no. 5)","id":"ITEM-1","issued":{"date-parts":[["1981"]]},"page":"379-487","title":"Growth and energy budgets of large baleen whales from the Southern Hemisphere","type":"article-journal","volume":"3"},"uris":["http://www.mendeley.com/documents/?uuid=25963aff-cae2-465a-8b33-0bce9964c2b9"]},{"id":"ITEM-2","itemData":{"DOI":"10.1017/S0025315407054720","ISBN":"0025315407054","ISSN":"0025-3154","author":[{"dropping-particle":"","family":"Lockyer","given":"Christina","non-dropping-particle":"","parse-names":false,"suffix":""}],"container-title":"Journal of the Marine Biological Association of the UK","id":"ITEM-2","issued":{"date-parts":[["2007","7","30"]]},"page":"1035-1045","title":"All creatures great and smaller: a study in cetacean life history energetics","type":"article-journal","volume":"87"},"uris":["http://www.mendeley.com/documents/?uuid=5ece3fd6-80ff-4ea6-a930-6c44b0bac931"]},{"id":"ITEM-3","itemData":{"abstract":"No abstract","author":[{"dropping-particle":"","family":"Lockyer","given":"Christina","non-dropping-particle":"","parse-names":false,"suffix":""}],"container-title":"In: Approaches to Marine Mammal Energetics. A. C. Huntley, D. P. Costa, G. A. J. Worthy and M. A. Castellini (eds.). Society for Marine Mammalogy - Special Publication No. 1","id":"ITEM-3","issued":{"date-parts":[["1987"]]},"page":"183-203","publisher":"Allen Press","title":"Evaluation of the role of fat reserves in relation to the ecology of North Atlantic fin and sei whales","type":"article"},"uris":["http://www.mendeley.com/documents/?uuid=2e49d090-2892-4f15-84a9-babf1d4c5f53"]}],"mendeley":{"formattedCitation":"(Lockyer, 1981, 1987, 2007)","plainTextFormattedCitation":"(Lockyer, 1981, 1987, 2007)","previouslyFormattedCitation":"(Lockyer, 1981, 1987, 2007)"},"properties":{"noteIndex":0},"schema":"https://github.com/citation-style-language/schema/raw/master/csl-citation.json"}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(Lockyer, 1981, 1987, 2007)</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4440AB33" w14:textId="6F8690E4" w:rsidR="00BD77E6" w:rsidRPr="00F5652B" w:rsidRDefault="00BD77E6" w:rsidP="00155A36">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h</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 </w:t>
      </w:r>
      <w:r w:rsidRPr="00F5652B">
        <w:rPr>
          <w:rFonts w:ascii="Times New Roman" w:hAnsi="Times New Roman" w:cs="Times New Roman"/>
          <w:i/>
          <w:sz w:val="24"/>
          <w:szCs w:val="24"/>
          <w:lang/>
        </w:rPr>
        <w:t>p</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xml:space="preserve">) ∙ (4,400 ∙ 4.184 ∙ </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b</w:t>
      </w:r>
      <w:r w:rsidRPr="00F5652B">
        <w:rPr>
          <w:rFonts w:ascii="Times New Roman" w:hAnsi="Times New Roman" w:cs="Times New Roman"/>
          <w:sz w:val="24"/>
          <w:szCs w:val="24"/>
          <w:vertAlign w:val="superscript"/>
          <w:lang/>
        </w:rPr>
        <w:t>1.2</w:t>
      </w:r>
      <w:r w:rsidRPr="00F5652B">
        <w:rPr>
          <w:rFonts w:ascii="Times New Roman" w:hAnsi="Times New Roman" w:cs="Times New Roman"/>
          <w:sz w:val="24"/>
          <w:szCs w:val="24"/>
          <w:lang/>
        </w:rPr>
        <w:t xml:space="preserve">) is the heat of gestation, given </w:t>
      </w:r>
      <w:r w:rsidRPr="00F5652B">
        <w:rPr>
          <w:rFonts w:ascii="Times New Roman" w:hAnsi="Times New Roman" w:cs="Times New Roman"/>
          <w:i/>
          <w:sz w:val="24"/>
          <w:szCs w:val="24"/>
          <w:lang/>
        </w:rPr>
        <w:t>p</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 Δ</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f</w:t>
      </w:r>
      <w:r w:rsidRPr="00F5652B">
        <w:rPr>
          <w:rFonts w:ascii="Times New Roman" w:hAnsi="Times New Roman" w:cs="Times New Roman"/>
          <w:sz w:val="24"/>
          <w:szCs w:val="24"/>
          <w:lang/>
        </w:rPr>
        <w:t>(</w:t>
      </w:r>
      <w:r w:rsidRPr="00F5652B">
        <w:rPr>
          <w:rFonts w:ascii="Times New Roman" w:hAnsi="Times New Roman" w:cs="Times New Roman"/>
          <w:i/>
          <w:sz w:val="24"/>
          <w:szCs w:val="24"/>
          <w:lang/>
        </w:rPr>
        <w:t>g</w:t>
      </w:r>
      <w:r w:rsidRPr="00F5652B">
        <w:rPr>
          <w:rFonts w:ascii="Times New Roman" w:hAnsi="Times New Roman" w:cs="Times New Roman"/>
          <w:sz w:val="24"/>
          <w:szCs w:val="24"/>
          <w:lang/>
        </w:rPr>
        <w:t>) /</w:t>
      </w:r>
      <w:r w:rsidRPr="00F5652B">
        <w:rPr>
          <w:rFonts w:ascii="Times New Roman" w:hAnsi="Times New Roman" w:cs="Times New Roman"/>
          <w:i/>
          <w:sz w:val="24"/>
          <w:szCs w:val="24"/>
          <w:lang/>
        </w:rPr>
        <w:t xml:space="preserve"> w</w:t>
      </w:r>
      <w:r w:rsidRPr="00F5652B">
        <w:rPr>
          <w:rFonts w:ascii="Times New Roman" w:hAnsi="Times New Roman" w:cs="Times New Roman"/>
          <w:i/>
          <w:sz w:val="24"/>
          <w:szCs w:val="24"/>
          <w:vertAlign w:val="subscript"/>
          <w:lang/>
        </w:rPr>
        <w:t>b</w:t>
      </w:r>
      <w:r w:rsidRPr="00F5652B">
        <w:rPr>
          <w:rFonts w:ascii="Times New Roman" w:hAnsi="Times New Roman" w:cs="Times New Roman"/>
          <w:sz w:val="24"/>
          <w:szCs w:val="24"/>
          <w:lang/>
        </w:rPr>
        <w:t xml:space="preserve">, i.e., the proportional change in </w:t>
      </w:r>
      <w:r w:rsidR="00F5652B" w:rsidRPr="00F5652B">
        <w:rPr>
          <w:rFonts w:ascii="Times New Roman" w:hAnsi="Times New Roman" w:cs="Times New Roman"/>
          <w:sz w:val="24"/>
          <w:szCs w:val="24"/>
          <w:lang/>
        </w:rPr>
        <w:t>foetus</w:t>
      </w:r>
      <w:r w:rsidRPr="00F5652B">
        <w:rPr>
          <w:rFonts w:ascii="Times New Roman" w:hAnsi="Times New Roman" w:cs="Times New Roman"/>
          <w:sz w:val="24"/>
          <w:szCs w:val="24"/>
          <w:lang/>
        </w:rPr>
        <w:t xml:space="preserve"> weight on that day with respect to the weight at birth (</w:t>
      </w:r>
      <w:r w:rsidRPr="00F5652B">
        <w:rPr>
          <w:rFonts w:ascii="Times New Roman" w:hAnsi="Times New Roman" w:cs="Times New Roman"/>
          <w:i/>
          <w:sz w:val="24"/>
          <w:szCs w:val="24"/>
          <w:lang/>
        </w:rPr>
        <w:t>w</w:t>
      </w:r>
      <w:r w:rsidRPr="00F5652B">
        <w:rPr>
          <w:rFonts w:ascii="Times New Roman" w:hAnsi="Times New Roman" w:cs="Times New Roman"/>
          <w:i/>
          <w:sz w:val="24"/>
          <w:szCs w:val="24"/>
          <w:vertAlign w:val="subscript"/>
          <w:lang/>
        </w:rPr>
        <w:t xml:space="preserve">b </w:t>
      </w:r>
      <w:r w:rsidRPr="00F5652B">
        <w:rPr>
          <w:rFonts w:ascii="Times New Roman" w:hAnsi="Times New Roman" w:cs="Times New Roman"/>
          <w:iCs/>
          <w:sz w:val="24"/>
          <w:szCs w:val="24"/>
          <w:lang/>
        </w:rPr>
        <w:t>= 2,500 kg</w:t>
      </w:r>
      <w:r w:rsidRPr="00F5652B">
        <w:rPr>
          <w:rFonts w:ascii="Times New Roman" w:hAnsi="Times New Roman" w:cs="Times New Roman"/>
          <w:sz w:val="24"/>
          <w:szCs w:val="24"/>
          <w:lang/>
        </w:rPr>
        <w:t>);</w:t>
      </w:r>
    </w:p>
    <w:p w14:paraId="7FF48CE1" w14:textId="42200546" w:rsidR="00BD77E6" w:rsidRPr="00F5652B" w:rsidRDefault="00BD77E6" w:rsidP="00BD77E6">
      <w:pPr>
        <w:spacing w:line="480" w:lineRule="auto"/>
        <w:jc w:val="both"/>
        <w:rPr>
          <w:rFonts w:ascii="Times New Roman" w:hAnsi="Times New Roman" w:cs="Times New Roman"/>
          <w:i/>
          <w:iCs/>
          <w:sz w:val="24"/>
          <w:szCs w:val="24"/>
          <w:lang/>
        </w:rPr>
      </w:pPr>
      <w:r w:rsidRPr="00F5652B">
        <w:rPr>
          <w:rFonts w:ascii="Times New Roman" w:hAnsi="Times New Roman" w:cs="Times New Roman"/>
          <w:sz w:val="24"/>
          <w:szCs w:val="24"/>
          <w:lang/>
        </w:rPr>
        <w:t>Th</w:t>
      </w:r>
      <w:r w:rsidR="00DD1C3A">
        <w:rPr>
          <w:rFonts w:ascii="Times New Roman" w:hAnsi="Times New Roman" w:cs="Times New Roman"/>
          <w:sz w:val="24"/>
          <w:szCs w:val="24"/>
          <w:lang/>
        </w:rPr>
        <w:t>e</w:t>
      </w:r>
      <w:r w:rsidRPr="00F5652B">
        <w:rPr>
          <w:rFonts w:ascii="Times New Roman" w:hAnsi="Times New Roman" w:cs="Times New Roman"/>
          <w:sz w:val="24"/>
          <w:szCs w:val="24"/>
          <w:lang/>
        </w:rPr>
        <w:t xml:space="preserve"> cost </w:t>
      </w:r>
      <w:r w:rsidR="00DD1C3A">
        <w:rPr>
          <w:rFonts w:ascii="Times New Roman" w:hAnsi="Times New Roman" w:cs="Times New Roman"/>
          <w:sz w:val="24"/>
          <w:szCs w:val="24"/>
          <w:lang/>
        </w:rPr>
        <w:t xml:space="preserve">of gestation </w:t>
      </w:r>
      <w:r w:rsidRPr="00F5652B">
        <w:rPr>
          <w:rFonts w:ascii="Times New Roman" w:hAnsi="Times New Roman" w:cs="Times New Roman"/>
          <w:sz w:val="24"/>
          <w:szCs w:val="24"/>
          <w:lang/>
        </w:rPr>
        <w:t>was calculated for an individual in the middle of pregnancy</w:t>
      </w:r>
      <w:r w:rsidRPr="00F5652B">
        <w:rPr>
          <w:rFonts w:ascii="Times New Roman" w:hAnsi="Times New Roman" w:cs="Times New Roman"/>
          <w:i/>
          <w:iCs/>
          <w:sz w:val="24"/>
          <w:szCs w:val="24"/>
          <w:lang/>
        </w:rPr>
        <w:t xml:space="preserve"> </w:t>
      </w:r>
      <w:r w:rsidRPr="00F5652B">
        <w:rPr>
          <w:rFonts w:ascii="Times New Roman" w:hAnsi="Times New Roman" w:cs="Times New Roman"/>
          <w:sz w:val="24"/>
          <w:szCs w:val="24"/>
          <w:lang/>
        </w:rPr>
        <w:t xml:space="preserve">(i.e., </w:t>
      </w:r>
      <w:r w:rsidRPr="00F5652B">
        <w:rPr>
          <w:rFonts w:ascii="Times New Roman" w:hAnsi="Times New Roman" w:cs="Times New Roman"/>
          <w:i/>
          <w:iCs/>
          <w:sz w:val="24"/>
          <w:szCs w:val="24"/>
          <w:lang/>
        </w:rPr>
        <w:t>g</w:t>
      </w:r>
      <w:r w:rsidRPr="00F5652B">
        <w:rPr>
          <w:rFonts w:ascii="Times New Roman" w:hAnsi="Times New Roman" w:cs="Times New Roman"/>
          <w:sz w:val="24"/>
          <w:szCs w:val="24"/>
          <w:lang/>
        </w:rPr>
        <w:t xml:space="preserve"> = 167).</w:t>
      </w:r>
      <w:r w:rsidRPr="00F5652B">
        <w:rPr>
          <w:rFonts w:ascii="Times New Roman" w:hAnsi="Times New Roman" w:cs="Times New Roman"/>
          <w:i/>
          <w:iCs/>
          <w:sz w:val="24"/>
          <w:szCs w:val="24"/>
          <w:lang/>
        </w:rPr>
        <w:t xml:space="preserve"> </w:t>
      </w:r>
    </w:p>
    <w:p w14:paraId="63CD8D45" w14:textId="77777777" w:rsidR="00BD77E6" w:rsidRPr="00F5652B" w:rsidRDefault="00BD77E6" w:rsidP="00BD77E6">
      <w:pPr>
        <w:spacing w:line="480" w:lineRule="auto"/>
        <w:jc w:val="both"/>
        <w:rPr>
          <w:rFonts w:ascii="Times New Roman" w:hAnsi="Times New Roman" w:cs="Times New Roman"/>
          <w:sz w:val="24"/>
          <w:szCs w:val="24"/>
          <w:lang/>
        </w:rPr>
      </w:pPr>
      <w:r w:rsidRPr="00F5652B">
        <w:rPr>
          <w:rFonts w:ascii="Times New Roman" w:hAnsi="Times New Roman" w:cs="Times New Roman"/>
          <w:i/>
          <w:iCs/>
          <w:sz w:val="24"/>
          <w:szCs w:val="24"/>
          <w:lang/>
        </w:rPr>
        <w:t>C</w:t>
      </w:r>
      <w:r w:rsidRPr="00F5652B">
        <w:rPr>
          <w:rFonts w:ascii="Times New Roman" w:hAnsi="Times New Roman" w:cs="Times New Roman"/>
          <w:i/>
          <w:iCs/>
          <w:sz w:val="24"/>
          <w:szCs w:val="24"/>
          <w:vertAlign w:val="subscript"/>
          <w:lang/>
        </w:rPr>
        <w:t>L</w:t>
      </w:r>
      <w:r w:rsidRPr="00F5652B">
        <w:rPr>
          <w:rFonts w:ascii="Times New Roman" w:hAnsi="Times New Roman" w:cs="Times New Roman"/>
          <w:sz w:val="24"/>
          <w:szCs w:val="24"/>
          <w:lang/>
        </w:rPr>
        <w:t xml:space="preserve"> = </w:t>
      </w:r>
      <w:r w:rsidRPr="00F5652B">
        <w:rPr>
          <w:rFonts w:ascii="Times New Roman" w:hAnsi="Times New Roman" w:cs="Times New Roman"/>
          <w:i/>
          <w:iCs/>
          <w:sz w:val="24"/>
          <w:szCs w:val="24"/>
          <w:lang/>
        </w:rPr>
        <w:t>M</w:t>
      </w:r>
      <w:r w:rsidRPr="00F5652B">
        <w:rPr>
          <w:rFonts w:ascii="Times New Roman" w:hAnsi="Times New Roman" w:cs="Times New Roman"/>
          <w:i/>
          <w:iCs/>
          <w:sz w:val="24"/>
          <w:szCs w:val="24"/>
          <w:vertAlign w:val="subscript"/>
          <w:lang/>
        </w:rPr>
        <w:t>max</w:t>
      </w:r>
      <w:r w:rsidRPr="00F5652B">
        <w:rPr>
          <w:rFonts w:ascii="Times New Roman" w:hAnsi="Times New Roman" w:cs="Times New Roman"/>
          <w:sz w:val="24"/>
          <w:szCs w:val="24"/>
          <w:lang/>
        </w:rPr>
        <w:t xml:space="preserve"> ∙ </w:t>
      </w:r>
      <w:r w:rsidRPr="00F5652B">
        <w:rPr>
          <w:rFonts w:ascii="Times New Roman" w:hAnsi="Times New Roman" w:cs="Times New Roman"/>
          <w:i/>
          <w:iCs/>
          <w:sz w:val="24"/>
          <w:szCs w:val="24"/>
          <w:lang/>
        </w:rPr>
        <w:t>e</w:t>
      </w:r>
      <w:r w:rsidRPr="00F5652B">
        <w:rPr>
          <w:rFonts w:ascii="Times New Roman" w:hAnsi="Times New Roman" w:cs="Times New Roman"/>
          <w:sz w:val="24"/>
          <w:szCs w:val="24"/>
          <w:lang/>
        </w:rPr>
        <w:t xml:space="preserve"> / E is the cost of lactation (kJ) assuming an individual delivered the maximum daily amount of milk to the calf, where:</w:t>
      </w:r>
    </w:p>
    <w:p w14:paraId="5FB181E2" w14:textId="02F7C459" w:rsidR="00BD77E6" w:rsidRPr="00F5652B" w:rsidRDefault="00BD77E6" w:rsidP="00155A36">
      <w:pPr>
        <w:pStyle w:val="ListParagraph"/>
        <w:numPr>
          <w:ilvl w:val="0"/>
          <w:numId w:val="5"/>
        </w:numPr>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shd w:val="clear" w:color="auto" w:fill="FFFFFF" w:themeFill="background1"/>
          <w:lang/>
        </w:rPr>
        <w:t>M</w:t>
      </w:r>
      <w:r w:rsidRPr="00F5652B">
        <w:rPr>
          <w:rFonts w:ascii="Times New Roman" w:hAnsi="Times New Roman" w:cs="Times New Roman"/>
          <w:i/>
          <w:sz w:val="24"/>
          <w:szCs w:val="24"/>
          <w:shd w:val="clear" w:color="auto" w:fill="FFFFFF" w:themeFill="background1"/>
          <w:vertAlign w:val="subscript"/>
          <w:lang/>
        </w:rPr>
        <w:t>max</w:t>
      </w:r>
      <w:r w:rsidRPr="00F5652B">
        <w:rPr>
          <w:rFonts w:ascii="Times New Roman" w:hAnsi="Times New Roman" w:cs="Times New Roman"/>
          <w:sz w:val="24"/>
          <w:szCs w:val="24"/>
          <w:shd w:val="clear" w:color="auto" w:fill="FFFFFF" w:themeFill="background1"/>
          <w:lang/>
        </w:rPr>
        <w:t xml:space="preserve"> = 220 kg is the maximum amount of milk delivered </w:t>
      </w:r>
      <w:r w:rsidR="00BD301E">
        <w:rPr>
          <w:rFonts w:ascii="Times New Roman" w:hAnsi="Times New Roman" w:cs="Times New Roman"/>
          <w:sz w:val="24"/>
          <w:szCs w:val="24"/>
          <w:shd w:val="clear" w:color="auto" w:fill="FFFFFF" w:themeFill="background1"/>
          <w:lang/>
        </w:rPr>
        <w:t>i</w:t>
      </w:r>
      <w:r w:rsidRPr="00F5652B">
        <w:rPr>
          <w:rFonts w:ascii="Times New Roman" w:hAnsi="Times New Roman" w:cs="Times New Roman"/>
          <w:sz w:val="24"/>
          <w:szCs w:val="24"/>
          <w:shd w:val="clear" w:color="auto" w:fill="FFFFFF" w:themeFill="background1"/>
          <w:lang/>
        </w:rPr>
        <w:t xml:space="preserve">n a day </w:t>
      </w:r>
      <w:r w:rsidRPr="00F5652B">
        <w:rPr>
          <w:rFonts w:ascii="Times New Roman" w:hAnsi="Times New Roman" w:cs="Times New Roman"/>
          <w:sz w:val="24"/>
          <w:szCs w:val="24"/>
          <w:shd w:val="clear" w:color="auto" w:fill="FFFFFF" w:themeFill="background1"/>
          <w:lang/>
        </w:rPr>
        <w:fldChar w:fldCharType="begin" w:fldLock="1"/>
      </w:r>
      <w:r w:rsidRPr="00F5652B">
        <w:rPr>
          <w:rFonts w:ascii="Times New Roman" w:hAnsi="Times New Roman" w:cs="Times New Roman"/>
          <w:sz w:val="24"/>
          <w:szCs w:val="24"/>
          <w:shd w:val="clear" w:color="auto" w:fill="FFFFFF" w:themeFill="background1"/>
          <w:lang/>
        </w:rPr>
        <w:instrText>ADDIN CSL_CITATION {"citationItems":[{"id":"ITEM-1","itemData":{"DOI":"10.1023/a:1026328203526","ISBN":"1083-3021","ISSN":"1083-3021","PMID":"10882306","abstract":"Although it has been more than one hundred years since the first publication on the milks of whales and dolphins (Order Cetacea), information on lactation in these species is scattered and fragmentary. Yet the immense size of some cetaceans, and the recent evidence that another group of marine mammals, the true seals, have remarkable rates of secretion of milk fat and energy, make this group of great comparative interest. In this paper information on lactation patterns, milk composition and lactation performance is reviewed. Two very different patterns are evident. Many of the baleen whales (Suborder Mysticeti) have relatively brief lactations (5-7 months) during which they fast or eat relatively little. At mid-lactation they produce milks relatively low in water (40-53%), high in fat (30-50%), and moderately high in protein (9-15%) and ash (1.2-2.1%). From mammary gland weights and postnatal growth rates, it is predicted that their energy outputs in milk are exceptional, reaching on the order of 4000 MJ/ d in the blue whale. This is possible because pregnant females migrate to feeding grounds where they can ingest and deposit great amounts of energy, building up blubber stores prior to parturition. On the other hand, the toothed whales and dolphins (Suborder Odontoceti) have much more extensive lactations typically lasting 1-3 years, during which the mothers feed. At mid-lactation their milks appear to be higher in water (60-77%) and lower in fat (10-30%) and ash (0.6-1.1%), with similar levels of protein (8-11%). At least some odontocetes resemble primates in terms of low predicted rates of energy output and a long period of dependency of the young. However, these hypotheses are based on small numbers of samples for a relatively small number of species. Much of the available data on milk composition is of rather poor quality; for example, it is not possible to determine if milk composition changes over the course of lactation among odontocetes. Additional research on cetacean mammary glands and their secretions is needed to understand the reproductive strategies of these fascinating animals.","author":[{"dropping-particle":"","family":"Oftedal","given":"O T","non-dropping-particle":"","parse-names":false,"suffix":""}],"container-title":"Journal of Mammary Gland Biology and Neoplasia","id":"ITEM-1","issue":"3","issued":{"date-parts":[["1997"]]},"page":"205-230","title":"Lactation in whales and dolphins: evidence of divergence between baleen- and toothed-species","type":"article-journal","volume":"2"},"uris":["http://www.mendeley.com/documents/?uuid=1081bdee-5369-4628-98f4-012ee9420615"]}],"mendeley":{"formattedCitation":"(Oftedal, 1997)","plainTextFormattedCitation":"(Oftedal, 1997)","previouslyFormattedCitation":"(Oftedal, 1997)"},"properties":{"noteIndex":0},"schema":"https://github.com/citation-style-language/schema/raw/master/csl-citation.json"}</w:instrText>
      </w:r>
      <w:r w:rsidRPr="00F5652B">
        <w:rPr>
          <w:rFonts w:ascii="Times New Roman" w:hAnsi="Times New Roman" w:cs="Times New Roman"/>
          <w:sz w:val="24"/>
          <w:szCs w:val="24"/>
          <w:shd w:val="clear" w:color="auto" w:fill="FFFFFF" w:themeFill="background1"/>
          <w:lang/>
        </w:rPr>
        <w:fldChar w:fldCharType="separate"/>
      </w:r>
      <w:r w:rsidRPr="00F5652B">
        <w:rPr>
          <w:rFonts w:ascii="Times New Roman" w:hAnsi="Times New Roman" w:cs="Times New Roman"/>
          <w:noProof/>
          <w:sz w:val="24"/>
          <w:szCs w:val="24"/>
          <w:shd w:val="clear" w:color="auto" w:fill="FFFFFF" w:themeFill="background1"/>
          <w:lang/>
        </w:rPr>
        <w:t>(Oftedal, 1997)</w:t>
      </w:r>
      <w:r w:rsidRPr="00F5652B">
        <w:rPr>
          <w:rFonts w:ascii="Times New Roman" w:hAnsi="Times New Roman" w:cs="Times New Roman"/>
          <w:sz w:val="24"/>
          <w:szCs w:val="24"/>
          <w:shd w:val="clear" w:color="auto" w:fill="FFFFFF" w:themeFill="background1"/>
          <w:lang/>
        </w:rPr>
        <w:fldChar w:fldCharType="end"/>
      </w:r>
      <w:r w:rsidRPr="00F5652B">
        <w:rPr>
          <w:rFonts w:ascii="Times New Roman" w:hAnsi="Times New Roman" w:cs="Times New Roman"/>
          <w:sz w:val="24"/>
          <w:szCs w:val="24"/>
          <w:shd w:val="clear" w:color="auto" w:fill="FFFFFF" w:themeFill="background1"/>
          <w:lang/>
        </w:rPr>
        <w:t>;</w:t>
      </w:r>
    </w:p>
    <w:p w14:paraId="37D09192" w14:textId="7B5E0CB9" w:rsidR="00BD77E6" w:rsidRPr="00F5652B" w:rsidRDefault="00BD77E6" w:rsidP="00155A36">
      <w:pPr>
        <w:pStyle w:val="ListParagraph"/>
        <w:numPr>
          <w:ilvl w:val="0"/>
          <w:numId w:val="5"/>
        </w:numPr>
        <w:shd w:val="clear" w:color="auto" w:fill="FFFFFF" w:themeFill="background1"/>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e</w:t>
      </w:r>
      <w:r w:rsidRPr="00F5652B">
        <w:rPr>
          <w:rFonts w:ascii="Times New Roman" w:hAnsi="Times New Roman" w:cs="Times New Roman"/>
          <w:sz w:val="24"/>
          <w:szCs w:val="24"/>
          <w:lang/>
        </w:rPr>
        <w:t xml:space="preserve"> = 17,309 kJ/kg is the energy content per unit weight of milk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{"citationItems":[{"id":"ITEM-1","itemData":{"ISBN":"9251005133","abstract":"Five balaenopterid species frequent the Antarctic Ocean for a few months each year: blue Balaenoptera musculus, fin B. physalus, sei B. borealis, minke B. acutorostrata and humpback Megaptera novaeangliae. Growth, development, migration, seasonal feeding and fattening, metabolism and energy budgets for blue and fin whales are discussed in detail, and comparisons with sei, minke and humpback whales are made whenever data are available. -from Current Antarctic Literature","author":[{"dropping-particle":"","family":"Lockyer","given":"C.","non-dropping-particle":"","parse-names":false,"suffix":""}],"container-title":"Mammals in the seas (FAO Fisheries Series no. 5)","id":"ITEM-1","issued":{"date-parts":[["1981"]]},"page":"379-487","title":"Growth and energy budgets of large baleen whales from the Southern Hemisphere","type":"article-journal","volume":"3"},"uris":["http://www.mendeley.com/documents/?uuid=25963aff-cae2-465a-8b33-0bce9964c2b9"]}],"mendeley":{"formattedCitation":"(Lockyer, 1981)","plainTextFormattedCitation":"(Lockyer, 1981)","previouslyFormattedCitation":"(Lockyer, 1981)"},"properties":{"noteIndex":0},"schema":"https://github.com/citation-style-language/schema/raw/master/csl-citation.json"}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(Lockyer, 1981)</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576D590B" w14:textId="526D77AA" w:rsidR="00BD77E6" w:rsidRPr="00F5652B" w:rsidRDefault="00BD77E6" w:rsidP="00155A36">
      <w:pPr>
        <w:pStyle w:val="ListParagraph"/>
        <w:numPr>
          <w:ilvl w:val="0"/>
          <w:numId w:val="5"/>
        </w:numPr>
        <w:shd w:val="clear" w:color="auto" w:fill="FFFFFF" w:themeFill="background1"/>
        <w:spacing w:line="480" w:lineRule="auto"/>
        <w:ind w:left="284" w:hanging="142"/>
        <w:jc w:val="both"/>
        <w:rPr>
          <w:rFonts w:ascii="Times New Roman" w:hAnsi="Times New Roman" w:cs="Times New Roman"/>
          <w:sz w:val="24"/>
          <w:szCs w:val="24"/>
          <w:lang/>
        </w:rPr>
      </w:pPr>
      <w:r w:rsidRPr="00F5652B">
        <w:rPr>
          <w:rFonts w:ascii="Times New Roman" w:hAnsi="Times New Roman" w:cs="Times New Roman"/>
          <w:i/>
          <w:sz w:val="24"/>
          <w:szCs w:val="24"/>
          <w:lang/>
        </w:rPr>
        <w:t>E</w:t>
      </w:r>
      <w:r w:rsidRPr="00F5652B">
        <w:rPr>
          <w:rFonts w:ascii="Times New Roman" w:hAnsi="Times New Roman" w:cs="Times New Roman"/>
          <w:sz w:val="24"/>
          <w:szCs w:val="24"/>
          <w:lang/>
        </w:rPr>
        <w:t xml:space="preserve"> = 0.9 is the mammary gland efficiency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{"citationItems":[{"id":"ITEM-1","itemData":{"author":[{"dropping-particle":"","family":"Brody","given":"S","non-dropping-particle":"","parse-names":false,"suffix":""}],"id":"ITEM-1","issued":{"date-parts":[["1968"]]},"number-of-pages":"1023","publisher":"Hafner Publishing Co., Inc.","publisher-place":"New York, NY","title":"Bioenergetics and growth","type":"book"},"uris":["http://www.mendeley.com/documents/?uuid=ceef00fe-9818-4e09-b961-819b8969b903"]}],"mendeley":{"formattedCitation":"(Brody, 1968)","manualFormatting":"(Brody (1968)","plainTextFormattedCitation":"(Brody, 1968)","previouslyFormattedCitation":"(Brody, 1968)"},"properties":{"noteIndex":0},"schema":"https://github.com/citation-style-language/schema/raw/master/csl-citation.json"}</w:instrText>
      </w:r>
      <w:r w:rsidRPr="00F5652B">
        <w:rPr>
          <w:rFonts w:ascii="Times New Roman" w:hAnsi="Times New Roman" w:cs="Times New Roman"/>
          <w:sz w:val="24"/>
          <w:szCs w:val="24"/>
          <w:lang/>
        </w:rPr>
        <w:fldChar w:fldCharType="separate"/>
      </w:r>
      <w:r w:rsidR="00B8195E">
        <w:rPr>
          <w:rFonts w:ascii="Times New Roman" w:hAnsi="Times New Roman" w:cs="Times New Roman"/>
          <w:noProof/>
          <w:sz w:val="24"/>
          <w:szCs w:val="24"/>
          <w:lang/>
        </w:rPr>
        <w:t>[</w:t>
      </w:r>
      <w:r w:rsidRPr="00F5652B">
        <w:rPr>
          <w:rFonts w:ascii="Times New Roman" w:hAnsi="Times New Roman" w:cs="Times New Roman"/>
          <w:noProof/>
          <w:sz w:val="24"/>
          <w:szCs w:val="24"/>
          <w:lang/>
        </w:rPr>
        <w:t>Brody (1968)</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 xml:space="preserve"> in </w:t>
      </w:r>
      <w:r w:rsidRPr="00F5652B">
        <w:rPr>
          <w:rFonts w:ascii="Times New Roman" w:hAnsi="Times New Roman" w:cs="Times New Roman"/>
          <w:sz w:val="24"/>
          <w:szCs w:val="24"/>
          <w:lang/>
        </w:rPr>
        <w:fldChar w:fldCharType="begin" w:fldLock="1"/>
      </w:r>
      <w:r w:rsidRPr="00F5652B">
        <w:rPr>
          <w:rFonts w:ascii="Times New Roman" w:hAnsi="Times New Roman" w:cs="Times New Roman"/>
          <w:sz w:val="24"/>
          <w:szCs w:val="24"/>
          <w:lang/>
        </w:rPr>
        <w:instrText>ADDIN CSL_CITATION {"citationItems":[{"id":"ITEM-1","itemData":{"ISBN":"9251005133","abstract":"Five balaenopterid species frequent the Antarctic Ocean for a few months each year: blue Balaenoptera musculus, fin B. physalus, sei B. borealis, minke B. acutorostrata and humpback Megaptera novaeangliae. Growth, development, migration, seasonal feeding and fattening, metabolism and energy budgets for blue and fin whales are discussed in detail, and comparisons with sei, minke and humpback whales are made whenever data are available. -from Current Antarctic Literature","author":[{"dropping-particle":"","family":"Lockyer","given":"C.","non-dropping-particle":"","parse-names":false,"suffix":""}],"container-title":"Mammals in the seas (FAO Fisheries Series no. 5)","id":"ITEM-1","issued":{"date-parts":[["1981"]]},"page":"379-487","title":"Growth and energy budgets of large baleen whales from the Southern Hemisphere","type":"article-journal","volume":"3"},"uris":["http://www.mendeley.com/documents/?uuid=25963aff-cae2-465a-8b33-0bce9964c2b9"]}],"mendeley":{"formattedCitation":"(Lockyer, 1981)","manualFormatting":"Lockyer (1981))","plainTextFormattedCitation":"(Lockyer, 1981)","previouslyFormattedCitation":"(Lockyer, 1981)"},"properties":{"noteIndex":0},"schema":"https://github.com/citation-style-language/schema/raw/master/csl-citation.json"}</w:instrText>
      </w:r>
      <w:r w:rsidRPr="00F5652B">
        <w:rPr>
          <w:rFonts w:ascii="Times New Roman" w:hAnsi="Times New Roman" w:cs="Times New Roman"/>
          <w:sz w:val="24"/>
          <w:szCs w:val="24"/>
          <w:lang/>
        </w:rPr>
        <w:fldChar w:fldCharType="separate"/>
      </w:r>
      <w:r w:rsidRPr="00F5652B">
        <w:rPr>
          <w:rFonts w:ascii="Times New Roman" w:hAnsi="Times New Roman" w:cs="Times New Roman"/>
          <w:noProof/>
          <w:sz w:val="24"/>
          <w:szCs w:val="24"/>
          <w:lang/>
        </w:rPr>
        <w:t>Lockyer (1981)</w:t>
      </w:r>
      <w:r w:rsidR="00B8195E">
        <w:rPr>
          <w:rFonts w:ascii="Times New Roman" w:hAnsi="Times New Roman" w:cs="Times New Roman"/>
          <w:noProof/>
          <w:sz w:val="24"/>
          <w:szCs w:val="24"/>
          <w:lang/>
        </w:rPr>
        <w:t>]</w:t>
      </w:r>
      <w:r w:rsidRPr="00F5652B">
        <w:rPr>
          <w:rFonts w:ascii="Times New Roman" w:hAnsi="Times New Roman" w:cs="Times New Roman"/>
          <w:sz w:val="24"/>
          <w:szCs w:val="24"/>
          <w:lang/>
        </w:rPr>
        <w:fldChar w:fldCharType="end"/>
      </w:r>
      <w:r w:rsidRPr="00F5652B">
        <w:rPr>
          <w:rFonts w:ascii="Times New Roman" w:hAnsi="Times New Roman" w:cs="Times New Roman"/>
          <w:sz w:val="24"/>
          <w:szCs w:val="24"/>
          <w:lang/>
        </w:rPr>
        <w:t>.</w:t>
      </w:r>
    </w:p>
    <w:p w14:paraId="708BC972" w14:textId="77777777" w:rsidR="00861533" w:rsidRPr="00DA225E" w:rsidRDefault="00861533" w:rsidP="00890401">
      <w:pPr>
        <w:spacing w:line="480" w:lineRule="auto"/>
        <w:rPr>
          <w:rFonts w:ascii="Times New Roman" w:hAnsi="Times New Roman" w:cs="Times New Roman"/>
          <w:sz w:val="24"/>
          <w:szCs w:val="24"/>
        </w:rPr>
      </w:pPr>
      <w:r w:rsidRPr="00F5652B">
        <w:rPr>
          <w:rFonts w:ascii="Times New Roman" w:hAnsi="Times New Roman" w:cs="Times New Roman"/>
          <w:sz w:val="24"/>
          <w:szCs w:val="24"/>
          <w:lang/>
        </w:rPr>
        <w:br w:type="page"/>
      </w:r>
    </w:p>
    <w:p w14:paraId="3DBC1C91" w14:textId="77777777" w:rsidR="00861533" w:rsidRPr="00DA225E" w:rsidRDefault="00861533" w:rsidP="00890401">
      <w:pPr>
        <w:spacing w:line="480" w:lineRule="auto"/>
        <w:jc w:val="center"/>
        <w:rPr>
          <w:rFonts w:ascii="Times New Roman" w:hAnsi="Times New Roman" w:cs="Times New Roman"/>
          <w:sz w:val="24"/>
          <w:szCs w:val="24"/>
        </w:rPr>
      </w:pPr>
      <w:r w:rsidRPr="00DA225E">
        <w:rPr>
          <w:rFonts w:ascii="Times New Roman" w:hAnsi="Times New Roman" w:cs="Times New Roman"/>
          <w:noProof/>
          <w:sz w:val="24"/>
          <w:szCs w:val="24"/>
        </w:rPr>
        <w:lastRenderedPageBreak/>
        <w:drawing>
          <wp:inline distT="0" distB="0" distL="0" distR="0" wp14:anchorId="7842D81C" wp14:editId="37699732">
            <wp:extent cx="4572009" cy="45720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XX_lungeRates.png"/>
                    <pic:cNvPicPr/>
                  </pic:nvPicPr>
                  <pic:blipFill>
                    <a:blip r:embed="rId16"/>
                    <a:stretch>
                      <a:fillRect/>
                    </a:stretch>
                  </pic:blipFill>
                  <pic:spPr>
                    <a:xfrm>
                      <a:off x="0" y="0"/>
                      <a:ext cx="4572009" cy="4572009"/>
                    </a:xfrm>
                    <a:prstGeom prst="rect">
                      <a:avLst/>
                    </a:prstGeom>
                  </pic:spPr>
                </pic:pic>
              </a:graphicData>
            </a:graphic>
          </wp:inline>
        </w:drawing>
      </w:r>
    </w:p>
    <w:p w14:paraId="74A0ADC8" w14:textId="05A0CD62"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B228B8">
        <w:rPr>
          <w:rFonts w:ascii="Times New Roman" w:hAnsi="Times New Roman" w:cs="Times New Roman"/>
          <w:sz w:val="24"/>
          <w:szCs w:val="24"/>
          <w:lang/>
        </w:rPr>
        <w:t>5</w:t>
      </w:r>
      <w:r w:rsidRPr="00DA225E">
        <w:rPr>
          <w:rFonts w:ascii="Times New Roman" w:hAnsi="Times New Roman" w:cs="Times New Roman"/>
          <w:sz w:val="24"/>
          <w:szCs w:val="24"/>
        </w:rPr>
        <w:t>. Distribution of hourly lunge rates by feeding state (deep feeding, DF, and shallow feeding, SF), as derived from the multi-day tag data.</w:t>
      </w:r>
    </w:p>
    <w:p w14:paraId="5337B9F5"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br w:type="page"/>
      </w:r>
    </w:p>
    <w:p w14:paraId="0D69C89A" w14:textId="77777777" w:rsidR="00861533" w:rsidRPr="00DA225E" w:rsidRDefault="00861533" w:rsidP="00890401">
      <w:pPr>
        <w:spacing w:line="480" w:lineRule="auto"/>
        <w:jc w:val="center"/>
        <w:rPr>
          <w:rFonts w:ascii="Times New Roman" w:hAnsi="Times New Roman" w:cs="Times New Roman"/>
          <w:sz w:val="24"/>
          <w:szCs w:val="24"/>
        </w:rPr>
      </w:pPr>
      <w:r w:rsidRPr="00DA225E">
        <w:rPr>
          <w:rFonts w:ascii="Times New Roman" w:hAnsi="Times New Roman" w:cs="Times New Roman"/>
          <w:noProof/>
          <w:sz w:val="24"/>
          <w:szCs w:val="24"/>
        </w:rPr>
        <w:lastRenderedPageBreak/>
        <w:drawing>
          <wp:inline distT="0" distB="0" distL="0" distR="0" wp14:anchorId="076EC576" wp14:editId="3F99F8D0">
            <wp:extent cx="5943600" cy="29718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XX_krill&amp;length_v6.png"/>
                    <pic:cNvPicPr/>
                  </pic:nvPicPr>
                  <pic:blipFill>
                    <a:blip r:embed="rId17"/>
                    <a:stretch>
                      <a:fillRect/>
                    </a:stretch>
                  </pic:blipFill>
                  <pic:spPr>
                    <a:xfrm>
                      <a:off x="0" y="0"/>
                      <a:ext cx="5943600" cy="2971800"/>
                    </a:xfrm>
                    <a:prstGeom prst="rect">
                      <a:avLst/>
                    </a:prstGeom>
                  </pic:spPr>
                </pic:pic>
              </a:graphicData>
            </a:graphic>
          </wp:inline>
        </w:drawing>
      </w:r>
    </w:p>
    <w:p w14:paraId="2E416E86" w14:textId="56AEE08B"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B228B8">
        <w:rPr>
          <w:rFonts w:ascii="Times New Roman" w:hAnsi="Times New Roman" w:cs="Times New Roman"/>
          <w:sz w:val="24"/>
          <w:szCs w:val="24"/>
          <w:lang/>
        </w:rPr>
        <w:t>6</w:t>
      </w:r>
      <w:r w:rsidRPr="00DA225E">
        <w:rPr>
          <w:rFonts w:ascii="Times New Roman" w:hAnsi="Times New Roman" w:cs="Times New Roman"/>
          <w:sz w:val="24"/>
          <w:szCs w:val="24"/>
        </w:rPr>
        <w:t>. Predicted mean energy lost and mean proportion of acquired energy lost due to disturbance as a function of the assumed length of an individual and krill density distribution.</w:t>
      </w:r>
    </w:p>
    <w:p w14:paraId="20B2C319" w14:textId="725AFF93" w:rsidR="00486ED7" w:rsidRPr="00DA225E" w:rsidRDefault="00486ED7">
      <w:pPr>
        <w:rPr>
          <w:rFonts w:ascii="Times New Roman" w:hAnsi="Times New Roman" w:cs="Times New Roman"/>
          <w:sz w:val="24"/>
          <w:szCs w:val="24"/>
        </w:rPr>
      </w:pPr>
      <w:r w:rsidRPr="00DA225E">
        <w:rPr>
          <w:rFonts w:ascii="Times New Roman" w:hAnsi="Times New Roman" w:cs="Times New Roman"/>
          <w:sz w:val="24"/>
          <w:szCs w:val="24"/>
        </w:rPr>
        <w:br w:type="page"/>
      </w:r>
    </w:p>
    <w:p w14:paraId="1AF10647" w14:textId="77777777"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noProof/>
          <w:sz w:val="24"/>
          <w:szCs w:val="24"/>
        </w:rPr>
        <w:lastRenderedPageBreak/>
        <w:drawing>
          <wp:inline distT="0" distB="0" distL="0" distR="0" wp14:anchorId="10EB1F34" wp14:editId="389859F7">
            <wp:extent cx="6286500" cy="2095500"/>
            <wp:effectExtent l="0" t="0" r="0" b="0"/>
            <wp:docPr id="20" name="Picture 20" descr="A picture containing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XX_position.png"/>
                    <pic:cNvPicPr/>
                  </pic:nvPicPr>
                  <pic:blipFill>
                    <a:blip r:embed="rId18"/>
                    <a:stretch>
                      <a:fillRect/>
                    </a:stretch>
                  </pic:blipFill>
                  <pic:spPr>
                    <a:xfrm>
                      <a:off x="0" y="0"/>
                      <a:ext cx="6286500" cy="2095500"/>
                    </a:xfrm>
                    <a:prstGeom prst="rect">
                      <a:avLst/>
                    </a:prstGeom>
                  </pic:spPr>
                </pic:pic>
              </a:graphicData>
            </a:graphic>
          </wp:inline>
        </w:drawing>
      </w:r>
    </w:p>
    <w:p w14:paraId="2B8AA171" w14:textId="71ED7213" w:rsidR="00861533" w:rsidRPr="00DA225E" w:rsidRDefault="00861533" w:rsidP="0089040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B228B8">
        <w:rPr>
          <w:rFonts w:ascii="Times New Roman" w:hAnsi="Times New Roman" w:cs="Times New Roman"/>
          <w:sz w:val="24"/>
          <w:szCs w:val="24"/>
          <w:lang/>
        </w:rPr>
        <w:t>7</w:t>
      </w:r>
      <w:r w:rsidRPr="00DA225E">
        <w:rPr>
          <w:rFonts w:ascii="Times New Roman" w:hAnsi="Times New Roman" w:cs="Times New Roman"/>
          <w:sz w:val="24"/>
          <w:szCs w:val="24"/>
        </w:rPr>
        <w:t xml:space="preserve">. Predicted mean proportion of daily acquired energy lost, for increasing source intensity and duration, plotted by position of the source (at the </w:t>
      </w:r>
      <w:r w:rsidR="00DA225E" w:rsidRPr="00DA225E">
        <w:rPr>
          <w:rFonts w:ascii="Times New Roman" w:hAnsi="Times New Roman" w:cs="Times New Roman"/>
          <w:sz w:val="24"/>
          <w:szCs w:val="24"/>
        </w:rPr>
        <w:t>center</w:t>
      </w:r>
      <w:r w:rsidRPr="00DA225E">
        <w:rPr>
          <w:rFonts w:ascii="Times New Roman" w:hAnsi="Times New Roman" w:cs="Times New Roman"/>
          <w:sz w:val="24"/>
          <w:szCs w:val="24"/>
        </w:rPr>
        <w:t xml:space="preserve">, in a corner or at the </w:t>
      </w:r>
      <w:r w:rsidR="00DA225E" w:rsidRPr="00DA225E">
        <w:rPr>
          <w:rFonts w:ascii="Times New Roman" w:hAnsi="Times New Roman" w:cs="Times New Roman"/>
          <w:sz w:val="24"/>
          <w:szCs w:val="24"/>
        </w:rPr>
        <w:t>center</w:t>
      </w:r>
      <w:r w:rsidRPr="00DA225E">
        <w:rPr>
          <w:rFonts w:ascii="Times New Roman" w:hAnsi="Times New Roman" w:cs="Times New Roman"/>
          <w:sz w:val="24"/>
          <w:szCs w:val="24"/>
        </w:rPr>
        <w:t xml:space="preserve"> of one of the sides of the 100 km x 100 km location). Predictions are plotted for reference conditions (that is, assuming the discrete exposure-response function for median values under moderate response severity, the lower krill density distribution and a 22-m long individual).</w:t>
      </w:r>
    </w:p>
    <w:p w14:paraId="5CAFD01C" w14:textId="69E26D78" w:rsidR="004C2831" w:rsidRPr="00DA225E" w:rsidRDefault="00B61968">
      <w:pPr>
        <w:rPr>
          <w:rFonts w:ascii="Times New Roman" w:hAnsi="Times New Roman" w:cs="Times New Roman"/>
          <w:b/>
          <w:bCs/>
          <w:sz w:val="24"/>
          <w:szCs w:val="24"/>
        </w:rPr>
      </w:pPr>
      <w:r w:rsidRPr="00DA225E">
        <w:rPr>
          <w:rFonts w:ascii="Times New Roman" w:hAnsi="Times New Roman" w:cs="Times New Roman"/>
          <w:b/>
          <w:bCs/>
          <w:sz w:val="24"/>
          <w:szCs w:val="24"/>
        </w:rPr>
        <w:br w:type="page"/>
      </w:r>
    </w:p>
    <w:p w14:paraId="499D790F" w14:textId="77777777" w:rsidR="004C2831" w:rsidRPr="00DA225E" w:rsidRDefault="004C2831" w:rsidP="004C2831">
      <w:pPr>
        <w:spacing w:line="480" w:lineRule="auto"/>
        <w:jc w:val="center"/>
        <w:rPr>
          <w:rFonts w:ascii="Times New Roman" w:hAnsi="Times New Roman" w:cs="Times New Roman"/>
          <w:sz w:val="24"/>
          <w:szCs w:val="24"/>
        </w:rPr>
      </w:pPr>
      <w:r w:rsidRPr="00DA225E">
        <w:rPr>
          <w:rFonts w:ascii="Times New Roman" w:hAnsi="Times New Roman" w:cs="Times New Roman"/>
          <w:noProof/>
          <w:sz w:val="24"/>
          <w:szCs w:val="24"/>
        </w:rPr>
        <w:lastRenderedPageBreak/>
        <w:drawing>
          <wp:inline distT="0" distB="0" distL="0" distR="0" wp14:anchorId="0525E8D5" wp14:editId="1A61E49C">
            <wp:extent cx="4785105" cy="6699250"/>
            <wp:effectExtent l="0" t="0" r="0" b="6350"/>
            <wp:docPr id="2" name="Picture 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XX_progression_continuousDR_v6_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9944" cy="6706025"/>
                    </a:xfrm>
                    <a:prstGeom prst="rect">
                      <a:avLst/>
                    </a:prstGeom>
                  </pic:spPr>
                </pic:pic>
              </a:graphicData>
            </a:graphic>
          </wp:inline>
        </w:drawing>
      </w:r>
    </w:p>
    <w:p w14:paraId="393A1AE0" w14:textId="259DDDD3" w:rsidR="00AF6879" w:rsidRDefault="004C2831" w:rsidP="004C2831">
      <w:pPr>
        <w:spacing w:line="480" w:lineRule="auto"/>
        <w:rPr>
          <w:rFonts w:ascii="Times New Roman" w:hAnsi="Times New Roman" w:cs="Times New Roman"/>
          <w:sz w:val="24"/>
          <w:szCs w:val="24"/>
        </w:rPr>
      </w:pPr>
      <w:r w:rsidRPr="00DA225E">
        <w:rPr>
          <w:rFonts w:ascii="Times New Roman" w:hAnsi="Times New Roman" w:cs="Times New Roman"/>
          <w:sz w:val="24"/>
          <w:szCs w:val="24"/>
        </w:rPr>
        <w:t>Figure S</w:t>
      </w:r>
      <w:r w:rsidR="00B228B8">
        <w:rPr>
          <w:rFonts w:ascii="Times New Roman" w:hAnsi="Times New Roman" w:cs="Times New Roman"/>
          <w:sz w:val="24"/>
          <w:szCs w:val="24"/>
          <w:lang/>
        </w:rPr>
        <w:t>8</w:t>
      </w:r>
      <w:r w:rsidRPr="00DA225E">
        <w:rPr>
          <w:rFonts w:ascii="Times New Roman" w:hAnsi="Times New Roman" w:cs="Times New Roman"/>
          <w:sz w:val="24"/>
          <w:szCs w:val="24"/>
        </w:rPr>
        <w:t>. Predicted effects of disturbance for increasing intensity (source level) and duration of disturbance, using A) the continuous exposure-response function for received noise level and B) the continuous exposure-response response for range from source. Note that the scales in B have an upper limit corresponding to 1/25</w:t>
      </w:r>
      <w:r w:rsidRPr="00DA225E">
        <w:rPr>
          <w:rFonts w:ascii="Times New Roman" w:hAnsi="Times New Roman" w:cs="Times New Roman"/>
          <w:sz w:val="24"/>
          <w:szCs w:val="24"/>
          <w:vertAlign w:val="superscript"/>
        </w:rPr>
        <w:t>th</w:t>
      </w:r>
      <w:r w:rsidRPr="00DA225E">
        <w:rPr>
          <w:rFonts w:ascii="Times New Roman" w:hAnsi="Times New Roman" w:cs="Times New Roman"/>
          <w:sz w:val="24"/>
          <w:szCs w:val="24"/>
        </w:rPr>
        <w:t xml:space="preserve"> of the maximum values in A.</w:t>
      </w:r>
    </w:p>
    <w:p w14:paraId="22FD320F" w14:textId="3287FBDC" w:rsidR="00AF6879" w:rsidRPr="00DA225E" w:rsidRDefault="00AF6879" w:rsidP="00AF6879">
      <w:pPr>
        <w:spacing w:line="480" w:lineRule="auto"/>
        <w:rPr>
          <w:rFonts w:ascii="Times New Roman" w:hAnsi="Times New Roman" w:cs="Times New Roman"/>
          <w:b/>
          <w:bCs/>
          <w:sz w:val="24"/>
          <w:szCs w:val="24"/>
        </w:rPr>
      </w:pPr>
      <w:r>
        <w:rPr>
          <w:rFonts w:ascii="Times New Roman" w:hAnsi="Times New Roman" w:cs="Times New Roman"/>
          <w:b/>
          <w:bCs/>
          <w:sz w:val="24"/>
          <w:szCs w:val="24"/>
          <w:lang/>
        </w:rPr>
        <w:lastRenderedPageBreak/>
        <w:t>Supplementary Methods S4</w:t>
      </w:r>
      <w:r w:rsidRPr="00DA225E">
        <w:rPr>
          <w:rFonts w:ascii="Times New Roman" w:hAnsi="Times New Roman" w:cs="Times New Roman"/>
          <w:b/>
          <w:bCs/>
          <w:sz w:val="24"/>
          <w:szCs w:val="24"/>
        </w:rPr>
        <w:t xml:space="preserve">. </w:t>
      </w:r>
      <w:r>
        <w:rPr>
          <w:rFonts w:ascii="Times New Roman" w:hAnsi="Times New Roman" w:cs="Times New Roman"/>
          <w:b/>
          <w:bCs/>
          <w:sz w:val="24"/>
          <w:szCs w:val="24"/>
          <w:lang/>
        </w:rPr>
        <w:t xml:space="preserve">Table of abbreviations used in the paper </w:t>
      </w:r>
    </w:p>
    <w:p w14:paraId="03105BC9" w14:textId="103004E5" w:rsidR="004C2831" w:rsidRDefault="004C2831" w:rsidP="004C2831">
      <w:pPr>
        <w:spacing w:line="480" w:lineRule="auto"/>
        <w:rPr>
          <w:rFonts w:ascii="Times New Roman" w:hAnsi="Times New Roman" w:cs="Times New Roman"/>
          <w:sz w:val="24"/>
          <w:szCs w:val="24"/>
          <w:lang/>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6"/>
        <w:gridCol w:w="3967"/>
      </w:tblGrid>
      <w:tr w:rsidR="00AF6879" w:rsidRPr="00D93757" w14:paraId="5574F117" w14:textId="77777777" w:rsidTr="006D1DE9">
        <w:trPr>
          <w:trHeight w:val="691"/>
        </w:trPr>
        <w:tc>
          <w:tcPr>
            <w:tcW w:w="3116" w:type="dxa"/>
            <w:vAlign w:val="center"/>
          </w:tcPr>
          <w:p w14:paraId="252B2448" w14:textId="03A6AC81" w:rsidR="00AF6879" w:rsidRPr="00AF6879" w:rsidRDefault="00AF6879" w:rsidP="006D1DE9">
            <w:pPr>
              <w:rPr>
                <w:rFonts w:ascii="Times New Roman" w:hAnsi="Times New Roman" w:cs="Times New Roman"/>
                <w:b/>
                <w:bCs/>
                <w:sz w:val="24"/>
                <w:szCs w:val="24"/>
                <w:lang/>
              </w:rPr>
            </w:pPr>
            <w:r w:rsidRPr="00D93757">
              <w:rPr>
                <w:rFonts w:ascii="Times New Roman" w:hAnsi="Times New Roman" w:cs="Times New Roman"/>
                <w:b/>
                <w:bCs/>
                <w:sz w:val="24"/>
                <w:szCs w:val="24"/>
                <w:lang/>
              </w:rPr>
              <w:t>A</w:t>
            </w:r>
            <w:r>
              <w:rPr>
                <w:rFonts w:ascii="Times New Roman" w:hAnsi="Times New Roman" w:cs="Times New Roman"/>
                <w:b/>
                <w:bCs/>
                <w:sz w:val="24"/>
                <w:szCs w:val="24"/>
                <w:lang/>
              </w:rPr>
              <w:t>bbrev</w:t>
            </w:r>
            <w:r w:rsidR="001D4275">
              <w:rPr>
                <w:rFonts w:ascii="Times New Roman" w:hAnsi="Times New Roman" w:cs="Times New Roman"/>
                <w:b/>
                <w:bCs/>
                <w:sz w:val="24"/>
                <w:szCs w:val="24"/>
                <w:lang/>
              </w:rPr>
              <w:t>i</w:t>
            </w:r>
            <w:r>
              <w:rPr>
                <w:rFonts w:ascii="Times New Roman" w:hAnsi="Times New Roman" w:cs="Times New Roman"/>
                <w:b/>
                <w:bCs/>
                <w:sz w:val="24"/>
                <w:szCs w:val="24"/>
                <w:lang/>
              </w:rPr>
              <w:t>ation</w:t>
            </w:r>
          </w:p>
        </w:tc>
        <w:tc>
          <w:tcPr>
            <w:tcW w:w="3967" w:type="dxa"/>
            <w:vAlign w:val="center"/>
          </w:tcPr>
          <w:p w14:paraId="031B9D7A" w14:textId="77777777" w:rsidR="00AF6879" w:rsidRPr="00D93757" w:rsidRDefault="00AF6879" w:rsidP="006D1DE9">
            <w:pPr>
              <w:rPr>
                <w:rFonts w:ascii="Times New Roman" w:hAnsi="Times New Roman" w:cs="Times New Roman"/>
                <w:b/>
                <w:bCs/>
                <w:sz w:val="24"/>
                <w:szCs w:val="24"/>
              </w:rPr>
            </w:pPr>
            <w:r w:rsidRPr="00D93757">
              <w:rPr>
                <w:rFonts w:ascii="Times New Roman" w:hAnsi="Times New Roman" w:cs="Times New Roman"/>
                <w:b/>
                <w:bCs/>
                <w:sz w:val="24"/>
                <w:szCs w:val="24"/>
                <w:lang/>
              </w:rPr>
              <w:t>Explanation</w:t>
            </w:r>
          </w:p>
        </w:tc>
      </w:tr>
      <w:tr w:rsidR="00AF6879" w:rsidRPr="00D93757" w14:paraId="1165C68F" w14:textId="77777777" w:rsidTr="006D1DE9">
        <w:trPr>
          <w:trHeight w:val="559"/>
        </w:trPr>
        <w:tc>
          <w:tcPr>
            <w:tcW w:w="3116" w:type="dxa"/>
            <w:vAlign w:val="center"/>
          </w:tcPr>
          <w:p w14:paraId="0251D9CD"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CEE</w:t>
            </w:r>
          </w:p>
        </w:tc>
        <w:tc>
          <w:tcPr>
            <w:tcW w:w="3967" w:type="dxa"/>
            <w:vAlign w:val="center"/>
          </w:tcPr>
          <w:p w14:paraId="191D3ACF"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Controlled Exposure Experiment</w:t>
            </w:r>
          </w:p>
        </w:tc>
      </w:tr>
      <w:tr w:rsidR="00AF6879" w:rsidRPr="00D93757" w14:paraId="65241A42" w14:textId="77777777" w:rsidTr="006D1DE9">
        <w:trPr>
          <w:trHeight w:val="567"/>
        </w:trPr>
        <w:tc>
          <w:tcPr>
            <w:tcW w:w="3116" w:type="dxa"/>
            <w:vAlign w:val="center"/>
          </w:tcPr>
          <w:p w14:paraId="087F1EA4"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ENP</w:t>
            </w:r>
          </w:p>
        </w:tc>
        <w:tc>
          <w:tcPr>
            <w:tcW w:w="3967" w:type="dxa"/>
            <w:vAlign w:val="center"/>
          </w:tcPr>
          <w:p w14:paraId="0FC72005"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Eastern North-Pacific</w:t>
            </w:r>
          </w:p>
        </w:tc>
      </w:tr>
      <w:tr w:rsidR="00AF6879" w:rsidRPr="00D93757" w14:paraId="1C7E56ED" w14:textId="77777777" w:rsidTr="006D1DE9">
        <w:trPr>
          <w:trHeight w:val="547"/>
        </w:trPr>
        <w:tc>
          <w:tcPr>
            <w:tcW w:w="3116" w:type="dxa"/>
            <w:vAlign w:val="center"/>
          </w:tcPr>
          <w:p w14:paraId="351049E4"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ER</w:t>
            </w:r>
          </w:p>
        </w:tc>
        <w:tc>
          <w:tcPr>
            <w:tcW w:w="3967" w:type="dxa"/>
            <w:vAlign w:val="center"/>
          </w:tcPr>
          <w:p w14:paraId="4CEF8997"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Exposure-Response (function)</w:t>
            </w:r>
          </w:p>
        </w:tc>
      </w:tr>
      <w:tr w:rsidR="00AF6879" w:rsidRPr="00D93757" w14:paraId="5C86A8EF" w14:textId="77777777" w:rsidTr="006D1DE9">
        <w:trPr>
          <w:trHeight w:val="569"/>
        </w:trPr>
        <w:tc>
          <w:tcPr>
            <w:tcW w:w="3116" w:type="dxa"/>
            <w:vAlign w:val="center"/>
          </w:tcPr>
          <w:p w14:paraId="35D9793F"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MFAS</w:t>
            </w:r>
          </w:p>
        </w:tc>
        <w:tc>
          <w:tcPr>
            <w:tcW w:w="3967" w:type="dxa"/>
            <w:vAlign w:val="center"/>
          </w:tcPr>
          <w:p w14:paraId="730D33BC"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Mid-Frequency Active Sonar</w:t>
            </w:r>
          </w:p>
        </w:tc>
      </w:tr>
      <w:tr w:rsidR="00AF6879" w:rsidRPr="00D93757" w14:paraId="5F0F644A" w14:textId="77777777" w:rsidTr="006D1DE9">
        <w:trPr>
          <w:trHeight w:val="549"/>
        </w:trPr>
        <w:tc>
          <w:tcPr>
            <w:tcW w:w="3116" w:type="dxa"/>
            <w:vAlign w:val="center"/>
          </w:tcPr>
          <w:p w14:paraId="350BB98F"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RL</w:t>
            </w:r>
          </w:p>
        </w:tc>
        <w:tc>
          <w:tcPr>
            <w:tcW w:w="3967" w:type="dxa"/>
            <w:vAlign w:val="center"/>
          </w:tcPr>
          <w:p w14:paraId="1DDA6989" w14:textId="7FB238E8"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 xml:space="preserve">Received Level </w:t>
            </w:r>
          </w:p>
        </w:tc>
      </w:tr>
      <w:tr w:rsidR="00AF6879" w:rsidRPr="00D93757" w14:paraId="2EB13FDB" w14:textId="77777777" w:rsidTr="006D1DE9">
        <w:trPr>
          <w:trHeight w:val="557"/>
        </w:trPr>
        <w:tc>
          <w:tcPr>
            <w:tcW w:w="3116" w:type="dxa"/>
            <w:vAlign w:val="center"/>
          </w:tcPr>
          <w:p w14:paraId="6C875B93"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RMS</w:t>
            </w:r>
          </w:p>
        </w:tc>
        <w:tc>
          <w:tcPr>
            <w:tcW w:w="3967" w:type="dxa"/>
            <w:vAlign w:val="center"/>
          </w:tcPr>
          <w:p w14:paraId="1FD0F770" w14:textId="33F67C6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Root</w:t>
            </w:r>
            <w:r w:rsidR="001D4275">
              <w:rPr>
                <w:rFonts w:ascii="Times New Roman" w:hAnsi="Times New Roman" w:cs="Times New Roman"/>
                <w:sz w:val="24"/>
                <w:szCs w:val="24"/>
                <w:lang/>
              </w:rPr>
              <w:t xml:space="preserve"> </w:t>
            </w:r>
            <w:r w:rsidRPr="00D93757">
              <w:rPr>
                <w:rFonts w:ascii="Times New Roman" w:hAnsi="Times New Roman" w:cs="Times New Roman"/>
                <w:sz w:val="24"/>
                <w:szCs w:val="24"/>
                <w:lang/>
              </w:rPr>
              <w:t>Mean</w:t>
            </w:r>
            <w:r w:rsidR="001D4275">
              <w:rPr>
                <w:rFonts w:ascii="Times New Roman" w:hAnsi="Times New Roman" w:cs="Times New Roman"/>
                <w:sz w:val="24"/>
                <w:szCs w:val="24"/>
                <w:lang/>
              </w:rPr>
              <w:t xml:space="preserve"> </w:t>
            </w:r>
            <w:r w:rsidRPr="00D93757">
              <w:rPr>
                <w:rFonts w:ascii="Times New Roman" w:hAnsi="Times New Roman" w:cs="Times New Roman"/>
                <w:sz w:val="24"/>
                <w:szCs w:val="24"/>
                <w:lang/>
              </w:rPr>
              <w:t>Square</w:t>
            </w:r>
          </w:p>
        </w:tc>
      </w:tr>
      <w:tr w:rsidR="00AF6879" w:rsidRPr="00D93757" w14:paraId="20EE76F2" w14:textId="77777777" w:rsidTr="006D1DE9">
        <w:trPr>
          <w:trHeight w:val="551"/>
        </w:trPr>
        <w:tc>
          <w:tcPr>
            <w:tcW w:w="3116" w:type="dxa"/>
            <w:vAlign w:val="center"/>
          </w:tcPr>
          <w:p w14:paraId="60EB88ED"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SPL</w:t>
            </w:r>
          </w:p>
        </w:tc>
        <w:tc>
          <w:tcPr>
            <w:tcW w:w="3967" w:type="dxa"/>
            <w:vAlign w:val="center"/>
          </w:tcPr>
          <w:p w14:paraId="46F0DA2B"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Sound Pressure Level</w:t>
            </w:r>
          </w:p>
        </w:tc>
      </w:tr>
      <w:tr w:rsidR="00AF6879" w:rsidRPr="00D93757" w14:paraId="1E2C9D6B" w14:textId="77777777" w:rsidTr="006D1DE9">
        <w:trPr>
          <w:trHeight w:val="559"/>
        </w:trPr>
        <w:tc>
          <w:tcPr>
            <w:tcW w:w="3116" w:type="dxa"/>
            <w:tcBorders>
              <w:bottom w:val="single" w:sz="4" w:space="0" w:color="auto"/>
            </w:tcBorders>
            <w:vAlign w:val="center"/>
          </w:tcPr>
          <w:p w14:paraId="7755D4CA"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SL</w:t>
            </w:r>
          </w:p>
        </w:tc>
        <w:tc>
          <w:tcPr>
            <w:tcW w:w="3967" w:type="dxa"/>
            <w:tcBorders>
              <w:bottom w:val="single" w:sz="4" w:space="0" w:color="auto"/>
            </w:tcBorders>
            <w:vAlign w:val="center"/>
          </w:tcPr>
          <w:p w14:paraId="32D13009"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Source Level</w:t>
            </w:r>
          </w:p>
        </w:tc>
      </w:tr>
      <w:tr w:rsidR="00AF6879" w:rsidRPr="00D93757" w14:paraId="11E67BBD" w14:textId="77777777" w:rsidTr="006D1DE9">
        <w:trPr>
          <w:trHeight w:val="553"/>
        </w:trPr>
        <w:tc>
          <w:tcPr>
            <w:tcW w:w="3116" w:type="dxa"/>
            <w:tcBorders>
              <w:bottom w:val="single" w:sz="4" w:space="0" w:color="auto"/>
            </w:tcBorders>
            <w:vAlign w:val="center"/>
          </w:tcPr>
          <w:p w14:paraId="309FC4AC"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TTS</w:t>
            </w:r>
          </w:p>
        </w:tc>
        <w:tc>
          <w:tcPr>
            <w:tcW w:w="3967" w:type="dxa"/>
            <w:tcBorders>
              <w:bottom w:val="single" w:sz="4" w:space="0" w:color="auto"/>
            </w:tcBorders>
            <w:vAlign w:val="center"/>
          </w:tcPr>
          <w:p w14:paraId="7C48DA2A" w14:textId="77777777" w:rsidR="00AF6879" w:rsidRPr="00D93757" w:rsidRDefault="00AF6879" w:rsidP="006D1DE9">
            <w:pPr>
              <w:rPr>
                <w:rFonts w:ascii="Times New Roman" w:hAnsi="Times New Roman" w:cs="Times New Roman"/>
                <w:sz w:val="24"/>
                <w:szCs w:val="24"/>
              </w:rPr>
            </w:pPr>
            <w:r w:rsidRPr="00D93757">
              <w:rPr>
                <w:rFonts w:ascii="Times New Roman" w:hAnsi="Times New Roman" w:cs="Times New Roman"/>
                <w:sz w:val="24"/>
                <w:szCs w:val="24"/>
                <w:lang/>
              </w:rPr>
              <w:t>Temporary Threshold Shift</w:t>
            </w:r>
          </w:p>
        </w:tc>
      </w:tr>
    </w:tbl>
    <w:p w14:paraId="24302DAE" w14:textId="77777777" w:rsidR="00AF6879" w:rsidRDefault="00AF6879">
      <w:pPr>
        <w:rPr>
          <w:rFonts w:ascii="Times New Roman" w:hAnsi="Times New Roman" w:cs="Times New Roman"/>
          <w:b/>
          <w:bCs/>
          <w:sz w:val="24"/>
          <w:szCs w:val="24"/>
          <w:lang/>
        </w:rPr>
      </w:pPr>
      <w:r>
        <w:rPr>
          <w:rFonts w:ascii="Times New Roman" w:hAnsi="Times New Roman" w:cs="Times New Roman"/>
          <w:b/>
          <w:bCs/>
          <w:sz w:val="24"/>
          <w:szCs w:val="24"/>
          <w:lang/>
        </w:rPr>
        <w:br w:type="page"/>
      </w:r>
    </w:p>
    <w:p w14:paraId="0060491E" w14:textId="425724EB" w:rsidR="00861533" w:rsidRPr="00B228B8" w:rsidRDefault="00B228B8" w:rsidP="00890401">
      <w:pPr>
        <w:spacing w:line="480" w:lineRule="auto"/>
        <w:rPr>
          <w:rFonts w:ascii="Times New Roman" w:hAnsi="Times New Roman" w:cs="Times New Roman"/>
          <w:b/>
          <w:bCs/>
          <w:sz w:val="24"/>
          <w:szCs w:val="24"/>
          <w:lang/>
        </w:rPr>
      </w:pPr>
      <w:r>
        <w:rPr>
          <w:rFonts w:ascii="Times New Roman" w:hAnsi="Times New Roman" w:cs="Times New Roman"/>
          <w:b/>
          <w:bCs/>
          <w:sz w:val="24"/>
          <w:szCs w:val="24"/>
          <w:lang/>
        </w:rPr>
        <w:lastRenderedPageBreak/>
        <w:t>References cited</w:t>
      </w:r>
      <w:r w:rsidR="00890401" w:rsidRPr="00890401">
        <w:rPr>
          <w:rFonts w:ascii="Times New Roman" w:hAnsi="Times New Roman" w:cs="Times New Roman"/>
          <w:b/>
          <w:bCs/>
          <w:sz w:val="24"/>
          <w:szCs w:val="24"/>
          <w:lang/>
        </w:rPr>
        <w:t xml:space="preserve"> in the </w:t>
      </w:r>
      <w:r>
        <w:rPr>
          <w:rFonts w:ascii="Times New Roman" w:hAnsi="Times New Roman" w:cs="Times New Roman"/>
          <w:b/>
          <w:bCs/>
          <w:sz w:val="24"/>
          <w:szCs w:val="24"/>
          <w:lang/>
        </w:rPr>
        <w:t>Supplementary data</w:t>
      </w:r>
    </w:p>
    <w:p w14:paraId="0C5682BC" w14:textId="77777777" w:rsidR="00890401" w:rsidRPr="00890401" w:rsidRDefault="00890401" w:rsidP="00890401">
      <w:pPr>
        <w:spacing w:line="480" w:lineRule="auto"/>
        <w:rPr>
          <w:rFonts w:ascii="Times New Roman" w:hAnsi="Times New Roman" w:cs="Times New Roman"/>
          <w:b/>
          <w:bCs/>
          <w:sz w:val="24"/>
          <w:szCs w:val="24"/>
          <w:lang/>
        </w:rPr>
      </w:pPr>
    </w:p>
    <w:p w14:paraId="2C710F79" w14:textId="4E530063" w:rsidR="00BD77E6" w:rsidRPr="00BD77E6" w:rsidRDefault="00861533"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890401">
        <w:rPr>
          <w:rFonts w:ascii="Times New Roman" w:hAnsi="Times New Roman" w:cs="Times New Roman"/>
          <w:sz w:val="24"/>
          <w:szCs w:val="24"/>
          <w:lang/>
        </w:rPr>
        <w:fldChar w:fldCharType="begin" w:fldLock="1"/>
      </w:r>
      <w:r w:rsidRPr="00890401">
        <w:rPr>
          <w:rFonts w:ascii="Times New Roman" w:hAnsi="Times New Roman" w:cs="Times New Roman"/>
          <w:sz w:val="24"/>
          <w:szCs w:val="24"/>
          <w:lang/>
        </w:rPr>
        <w:instrText xml:space="preserve">ADDIN Mendeley Bibliography CSL_BIBLIOGRAPHY </w:instrText>
      </w:r>
      <w:r w:rsidRPr="00890401">
        <w:rPr>
          <w:rFonts w:ascii="Times New Roman" w:hAnsi="Times New Roman" w:cs="Times New Roman"/>
          <w:sz w:val="24"/>
          <w:szCs w:val="24"/>
          <w:lang/>
        </w:rPr>
        <w:fldChar w:fldCharType="separate"/>
      </w:r>
      <w:r w:rsidR="00BD77E6" w:rsidRPr="00BD77E6">
        <w:rPr>
          <w:rFonts w:ascii="Times New Roman" w:hAnsi="Times New Roman" w:cs="Times New Roman"/>
          <w:noProof/>
          <w:sz w:val="24"/>
          <w:szCs w:val="24"/>
        </w:rPr>
        <w:t>Au WWL, Hastings MC (2008) Principles of Marine Bioacoustics. Springer Verlag, New York, NY.</w:t>
      </w:r>
    </w:p>
    <w:p w14:paraId="086B7206"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Brody S (1968) Bioenergetics and Growth. Hafner Publishing Co., Inc., New York, NY.</w:t>
      </w:r>
    </w:p>
    <w:p w14:paraId="1D01F439"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Cade DE, Barr KR, Calambokidis J, Friedlaender AS, Goldbogen JA (2018) Determining forward speed from accelerometer jiggle in aquatic environments. </w:t>
      </w:r>
      <w:r w:rsidRPr="00BD77E6">
        <w:rPr>
          <w:rFonts w:ascii="Times New Roman" w:hAnsi="Times New Roman" w:cs="Times New Roman"/>
          <w:i/>
          <w:iCs/>
          <w:noProof/>
          <w:sz w:val="24"/>
          <w:szCs w:val="24"/>
        </w:rPr>
        <w:t>J Exp Biol</w:t>
      </w:r>
      <w:r w:rsidRPr="00BD77E6">
        <w:rPr>
          <w:rFonts w:ascii="Times New Roman" w:hAnsi="Times New Roman" w:cs="Times New Roman"/>
          <w:noProof/>
          <w:sz w:val="24"/>
          <w:szCs w:val="24"/>
        </w:rPr>
        <w:t xml:space="preserve"> 221: 170449.</w:t>
      </w:r>
    </w:p>
    <w:p w14:paraId="6F02F057"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Cade DE, Friedlaender AS, Calambokidis J, Goldbogen JA (2016) Kinematic diversity in rorqual whale feeding mechanisms. </w:t>
      </w:r>
      <w:r w:rsidRPr="00BD77E6">
        <w:rPr>
          <w:rFonts w:ascii="Times New Roman" w:hAnsi="Times New Roman" w:cs="Times New Roman"/>
          <w:i/>
          <w:iCs/>
          <w:noProof/>
          <w:sz w:val="24"/>
          <w:szCs w:val="24"/>
        </w:rPr>
        <w:t>Curr Biol</w:t>
      </w:r>
      <w:r w:rsidRPr="00BD77E6">
        <w:rPr>
          <w:rFonts w:ascii="Times New Roman" w:hAnsi="Times New Roman" w:cs="Times New Roman"/>
          <w:noProof/>
          <w:sz w:val="24"/>
          <w:szCs w:val="24"/>
        </w:rPr>
        <w:t xml:space="preserve"> 26: 2617–2624.</w:t>
      </w:r>
    </w:p>
    <w:p w14:paraId="5ECB3E4D"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Calambokidis J, Fahlbusch JA, Szesciorka AR, Southall BL, Cade DE, Friedlaender AS, Goldbogen JA (2019) Differential vulnerability to ship strikes between day and night for blue, fin, and humpback whales based on dive and movement data from medium duration archival tags. </w:t>
      </w:r>
      <w:r w:rsidRPr="00BD77E6">
        <w:rPr>
          <w:rFonts w:ascii="Times New Roman" w:hAnsi="Times New Roman" w:cs="Times New Roman"/>
          <w:i/>
          <w:iCs/>
          <w:noProof/>
          <w:sz w:val="24"/>
          <w:szCs w:val="24"/>
        </w:rPr>
        <w:t>Front Mar Sci</w:t>
      </w:r>
      <w:r w:rsidRPr="00BD77E6">
        <w:rPr>
          <w:rFonts w:ascii="Times New Roman" w:hAnsi="Times New Roman" w:cs="Times New Roman"/>
          <w:noProof/>
          <w:sz w:val="24"/>
          <w:szCs w:val="24"/>
        </w:rPr>
        <w:t xml:space="preserve"> 6: 543.</w:t>
      </w:r>
    </w:p>
    <w:p w14:paraId="36220430"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Calenge C (2006) The package adehabitat for the R software: a tool for the analysis of space and habitat use by animals. </w:t>
      </w:r>
      <w:r w:rsidRPr="00BD77E6">
        <w:rPr>
          <w:rFonts w:ascii="Times New Roman" w:hAnsi="Times New Roman" w:cs="Times New Roman"/>
          <w:i/>
          <w:iCs/>
          <w:noProof/>
          <w:sz w:val="24"/>
          <w:szCs w:val="24"/>
        </w:rPr>
        <w:t>Ecol Modell</w:t>
      </w:r>
      <w:r w:rsidRPr="00BD77E6">
        <w:rPr>
          <w:rFonts w:ascii="Times New Roman" w:hAnsi="Times New Roman" w:cs="Times New Roman"/>
          <w:noProof/>
          <w:sz w:val="24"/>
          <w:szCs w:val="24"/>
        </w:rPr>
        <w:t xml:space="preserve"> 197: 516–519.</w:t>
      </w:r>
    </w:p>
    <w:p w14:paraId="520774B6"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Chenoweth EM (2018) Bioenergetic and Economic Impacts of Humpback Whale Depredation at Salmon Hatchery Release Sites. University of Alaska Fairbanks.</w:t>
      </w:r>
    </w:p>
    <w:p w14:paraId="03154AB4"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Denwood MJ (2016) runjags: An R package providing interface utilities, model templates, parallel computing methods and additional distributions for MCMC models in JAGS. </w:t>
      </w:r>
      <w:r w:rsidRPr="00BD77E6">
        <w:rPr>
          <w:rFonts w:ascii="Times New Roman" w:hAnsi="Times New Roman" w:cs="Times New Roman"/>
          <w:i/>
          <w:iCs/>
          <w:noProof/>
          <w:sz w:val="24"/>
          <w:szCs w:val="24"/>
        </w:rPr>
        <w:t>J Stat Softw</w:t>
      </w:r>
      <w:r w:rsidRPr="00BD77E6">
        <w:rPr>
          <w:rFonts w:ascii="Times New Roman" w:hAnsi="Times New Roman" w:cs="Times New Roman"/>
          <w:noProof/>
          <w:sz w:val="24"/>
          <w:szCs w:val="24"/>
        </w:rPr>
        <w:t xml:space="preserve"> 71: 1–25.</w:t>
      </w:r>
    </w:p>
    <w:p w14:paraId="62DF9409"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DeRuiter SL, Langrock R, Skirbutas T, Goldbogen JA, Chalambokidis J, Friedlaender AS, </w:t>
      </w:r>
      <w:r w:rsidRPr="00BD77E6">
        <w:rPr>
          <w:rFonts w:ascii="Times New Roman" w:hAnsi="Times New Roman" w:cs="Times New Roman"/>
          <w:noProof/>
          <w:sz w:val="24"/>
          <w:szCs w:val="24"/>
        </w:rPr>
        <w:lastRenderedPageBreak/>
        <w:t xml:space="preserve">Southall BL (2017) A multivariate mixed hidden Markov model for blue whale behaviour and responses to sound exposure. </w:t>
      </w:r>
      <w:r w:rsidRPr="00BD77E6">
        <w:rPr>
          <w:rFonts w:ascii="Times New Roman" w:hAnsi="Times New Roman" w:cs="Times New Roman"/>
          <w:i/>
          <w:iCs/>
          <w:noProof/>
          <w:sz w:val="24"/>
          <w:szCs w:val="24"/>
        </w:rPr>
        <w:t>Ann Appl Stat</w:t>
      </w:r>
      <w:r w:rsidRPr="00BD77E6">
        <w:rPr>
          <w:rFonts w:ascii="Times New Roman" w:hAnsi="Times New Roman" w:cs="Times New Roman"/>
          <w:noProof/>
          <w:sz w:val="24"/>
          <w:szCs w:val="24"/>
        </w:rPr>
        <w:t xml:space="preserve"> 11: 362–392.</w:t>
      </w:r>
    </w:p>
    <w:p w14:paraId="363F0366"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Ellison WT, Southall BL, Clark CW, Frankel AS (2012) A new context-based approach to assess marine mammal behavioral responses to anthropogenic sounds. </w:t>
      </w:r>
      <w:r w:rsidRPr="00BD77E6">
        <w:rPr>
          <w:rFonts w:ascii="Times New Roman" w:hAnsi="Times New Roman" w:cs="Times New Roman"/>
          <w:i/>
          <w:iCs/>
          <w:noProof/>
          <w:sz w:val="24"/>
          <w:szCs w:val="24"/>
        </w:rPr>
        <w:t>Conserv Biol</w:t>
      </w:r>
      <w:r w:rsidRPr="00BD77E6">
        <w:rPr>
          <w:rFonts w:ascii="Times New Roman" w:hAnsi="Times New Roman" w:cs="Times New Roman"/>
          <w:noProof/>
          <w:sz w:val="24"/>
          <w:szCs w:val="24"/>
        </w:rPr>
        <w:t xml:space="preserve"> 26: 21–28.</w:t>
      </w:r>
    </w:p>
    <w:p w14:paraId="2A7240A4"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Ellison WT, Southall BL, Frankel AS, Vigness-Raposa K, Clark CW (2018) An acoustic scene perspective on spatial, temporal, and spectral aspects of marine mammal behavioral responses to noise. </w:t>
      </w:r>
      <w:r w:rsidRPr="00BD77E6">
        <w:rPr>
          <w:rFonts w:ascii="Times New Roman" w:hAnsi="Times New Roman" w:cs="Times New Roman"/>
          <w:i/>
          <w:iCs/>
          <w:noProof/>
          <w:sz w:val="24"/>
          <w:szCs w:val="24"/>
        </w:rPr>
        <w:t>Aquat Mamm</w:t>
      </w:r>
      <w:r w:rsidRPr="00BD77E6">
        <w:rPr>
          <w:rFonts w:ascii="Times New Roman" w:hAnsi="Times New Roman" w:cs="Times New Roman"/>
          <w:noProof/>
          <w:sz w:val="24"/>
          <w:szCs w:val="24"/>
        </w:rPr>
        <w:t xml:space="preserve"> 44: 239–243.</w:t>
      </w:r>
    </w:p>
    <w:p w14:paraId="7C268C38"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Frankel AS, Ellison WT, Vigness-Raposa KJ, Giard JL, Southall BL (2016) Stochastic modeling of behavioral response to anthropogenic sounds. In: The Effects of Noise on Aquatic Life II. Springer, New York, pp 321–329.</w:t>
      </w:r>
    </w:p>
    <w:p w14:paraId="6DDE4CD5"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Friedlaender AS, Goldbogen J a., Hazen EL, Calambokidis J, Southall BL (2014) Feeding performance by sympatric blue and fin whales exploiting a common prey resource. </w:t>
      </w:r>
      <w:r w:rsidRPr="00BD77E6">
        <w:rPr>
          <w:rFonts w:ascii="Times New Roman" w:hAnsi="Times New Roman" w:cs="Times New Roman"/>
          <w:i/>
          <w:iCs/>
          <w:noProof/>
          <w:sz w:val="24"/>
          <w:szCs w:val="24"/>
        </w:rPr>
        <w:t>Mar Mammal Sci</w:t>
      </w:r>
      <w:r w:rsidRPr="00BD77E6">
        <w:rPr>
          <w:rFonts w:ascii="Times New Roman" w:hAnsi="Times New Roman" w:cs="Times New Roman"/>
          <w:noProof/>
          <w:sz w:val="24"/>
          <w:szCs w:val="24"/>
        </w:rPr>
        <w:t>. doi:10.1111/mms.12134</w:t>
      </w:r>
    </w:p>
    <w:p w14:paraId="04367767"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Friedlaender AS, Hazen EL, Goldbogen JA, Stimpert AK, Calambokidis J, Southall BL (2016) Prey-mediated behavioral responses of feeding blue whales in controlled sound exposure experiments. </w:t>
      </w:r>
      <w:r w:rsidRPr="00BD77E6">
        <w:rPr>
          <w:rFonts w:ascii="Times New Roman" w:hAnsi="Times New Roman" w:cs="Times New Roman"/>
          <w:i/>
          <w:iCs/>
          <w:noProof/>
          <w:sz w:val="24"/>
          <w:szCs w:val="24"/>
        </w:rPr>
        <w:t>Ecol Appl</w:t>
      </w:r>
      <w:r w:rsidRPr="00BD77E6">
        <w:rPr>
          <w:rFonts w:ascii="Times New Roman" w:hAnsi="Times New Roman" w:cs="Times New Roman"/>
          <w:noProof/>
          <w:sz w:val="24"/>
          <w:szCs w:val="24"/>
        </w:rPr>
        <w:t xml:space="preserve"> 26: 1075–1085.</w:t>
      </w:r>
    </w:p>
    <w:p w14:paraId="388F4CD0"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Friedlaender AS, Herbert-Read JE, Hazen EL, Cade DE, Calambokidis J, Southall BL, Stimpert AK, Goldbogen JA (2017) Context-dependent lateralized feeding strategies in blue whales. </w:t>
      </w:r>
      <w:r w:rsidRPr="00BD77E6">
        <w:rPr>
          <w:rFonts w:ascii="Times New Roman" w:hAnsi="Times New Roman" w:cs="Times New Roman"/>
          <w:i/>
          <w:iCs/>
          <w:noProof/>
          <w:sz w:val="24"/>
          <w:szCs w:val="24"/>
        </w:rPr>
        <w:t>Curr Biol</w:t>
      </w:r>
      <w:r w:rsidRPr="00BD77E6">
        <w:rPr>
          <w:rFonts w:ascii="Times New Roman" w:hAnsi="Times New Roman" w:cs="Times New Roman"/>
          <w:noProof/>
          <w:sz w:val="24"/>
          <w:szCs w:val="24"/>
        </w:rPr>
        <w:t xml:space="preserve"> 27: R1206–R1208.</w:t>
      </w:r>
    </w:p>
    <w:p w14:paraId="6C828959"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Goldbogen JA, Calambokidis J, Oleson E, Potvin J, Pyenson ND, Schorr G, Shadwick RE (2011) Mechanics, hydrodynamics and energetics of blue whale lunge feeding: efficiency </w:t>
      </w:r>
      <w:r w:rsidRPr="00BD77E6">
        <w:rPr>
          <w:rFonts w:ascii="Times New Roman" w:hAnsi="Times New Roman" w:cs="Times New Roman"/>
          <w:noProof/>
          <w:sz w:val="24"/>
          <w:szCs w:val="24"/>
        </w:rPr>
        <w:lastRenderedPageBreak/>
        <w:t xml:space="preserve">dependence on krill density. </w:t>
      </w:r>
      <w:r w:rsidRPr="00BD77E6">
        <w:rPr>
          <w:rFonts w:ascii="Times New Roman" w:hAnsi="Times New Roman" w:cs="Times New Roman"/>
          <w:i/>
          <w:iCs/>
          <w:noProof/>
          <w:sz w:val="24"/>
          <w:szCs w:val="24"/>
        </w:rPr>
        <w:t>J Exp Biol</w:t>
      </w:r>
      <w:r w:rsidRPr="00BD77E6">
        <w:rPr>
          <w:rFonts w:ascii="Times New Roman" w:hAnsi="Times New Roman" w:cs="Times New Roman"/>
          <w:noProof/>
          <w:sz w:val="24"/>
          <w:szCs w:val="24"/>
        </w:rPr>
        <w:t xml:space="preserve"> 214: 131–146.</w:t>
      </w:r>
    </w:p>
    <w:p w14:paraId="66DC079A"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Goldbogen JA, Potvin J, Shadwick RE (2009) Skull and buccal cavity allometry increase mass-specific engulfment capacity in fin whales. </w:t>
      </w:r>
      <w:r w:rsidRPr="00BD77E6">
        <w:rPr>
          <w:rFonts w:ascii="Times New Roman" w:hAnsi="Times New Roman" w:cs="Times New Roman"/>
          <w:i/>
          <w:iCs/>
          <w:noProof/>
          <w:sz w:val="24"/>
          <w:szCs w:val="24"/>
        </w:rPr>
        <w:t>Proc R Soc B Biol Sci</w:t>
      </w:r>
      <w:r w:rsidRPr="00BD77E6">
        <w:rPr>
          <w:rFonts w:ascii="Times New Roman" w:hAnsi="Times New Roman" w:cs="Times New Roman"/>
          <w:noProof/>
          <w:sz w:val="24"/>
          <w:szCs w:val="24"/>
        </w:rPr>
        <w:t xml:space="preserve"> 277: 861–868.</w:t>
      </w:r>
    </w:p>
    <w:p w14:paraId="221C8AEB"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Goldbogen JA, Southall BL, DeRuiter SL, Calambokidis J, Friedlaender AS, Hazen EL, Falcone EA, Schorr GS, Douglas A, Moretti DJ, </w:t>
      </w:r>
      <w:r w:rsidRPr="00BD77E6">
        <w:rPr>
          <w:rFonts w:ascii="Times New Roman" w:hAnsi="Times New Roman" w:cs="Times New Roman"/>
          <w:i/>
          <w:iCs/>
          <w:noProof/>
          <w:sz w:val="24"/>
          <w:szCs w:val="24"/>
        </w:rPr>
        <w:t>et al.</w:t>
      </w:r>
      <w:r w:rsidRPr="00BD77E6">
        <w:rPr>
          <w:rFonts w:ascii="Times New Roman" w:hAnsi="Times New Roman" w:cs="Times New Roman"/>
          <w:noProof/>
          <w:sz w:val="24"/>
          <w:szCs w:val="24"/>
        </w:rPr>
        <w:t xml:space="preserve"> (2013) Blue whales respond to simulated mid-frequency military sonar. </w:t>
      </w:r>
      <w:r w:rsidRPr="00BD77E6">
        <w:rPr>
          <w:rFonts w:ascii="Times New Roman" w:hAnsi="Times New Roman" w:cs="Times New Roman"/>
          <w:i/>
          <w:iCs/>
          <w:noProof/>
          <w:sz w:val="24"/>
          <w:szCs w:val="24"/>
        </w:rPr>
        <w:t>Proc R Soc London Ser B Biol Sci</w:t>
      </w:r>
      <w:r w:rsidRPr="00BD77E6">
        <w:rPr>
          <w:rFonts w:ascii="Times New Roman" w:hAnsi="Times New Roman" w:cs="Times New Roman"/>
          <w:noProof/>
          <w:sz w:val="24"/>
          <w:szCs w:val="24"/>
        </w:rPr>
        <w:t xml:space="preserve"> 280: 20130657.</w:t>
      </w:r>
    </w:p>
    <w:p w14:paraId="3C0A2965"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Huggett ASG, Widdas WF (1950) The relationship between mammalian foetal weight and conception age. </w:t>
      </w:r>
      <w:r w:rsidRPr="00BD77E6">
        <w:rPr>
          <w:rFonts w:ascii="Times New Roman" w:hAnsi="Times New Roman" w:cs="Times New Roman"/>
          <w:i/>
          <w:iCs/>
          <w:noProof/>
          <w:sz w:val="24"/>
          <w:szCs w:val="24"/>
        </w:rPr>
        <w:t>J Physiol</w:t>
      </w:r>
      <w:r w:rsidRPr="00BD77E6">
        <w:rPr>
          <w:rFonts w:ascii="Times New Roman" w:hAnsi="Times New Roman" w:cs="Times New Roman"/>
          <w:noProof/>
          <w:sz w:val="24"/>
          <w:szCs w:val="24"/>
        </w:rPr>
        <w:t xml:space="preserve"> 4: 306–303.</w:t>
      </w:r>
    </w:p>
    <w:p w14:paraId="6CE2E13A"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Johnson MP, Tyack PL (2003) A digital acoustic recording tag for measuring the response of wild marine mammals to sound. </w:t>
      </w:r>
      <w:r w:rsidRPr="00BD77E6">
        <w:rPr>
          <w:rFonts w:ascii="Times New Roman" w:hAnsi="Times New Roman" w:cs="Times New Roman"/>
          <w:i/>
          <w:iCs/>
          <w:noProof/>
          <w:sz w:val="24"/>
          <w:szCs w:val="24"/>
        </w:rPr>
        <w:t>IEEE J Ocean Eng</w:t>
      </w:r>
      <w:r w:rsidRPr="00BD77E6">
        <w:rPr>
          <w:rFonts w:ascii="Times New Roman" w:hAnsi="Times New Roman" w:cs="Times New Roman"/>
          <w:noProof/>
          <w:sz w:val="24"/>
          <w:szCs w:val="24"/>
        </w:rPr>
        <w:t xml:space="preserve"> 28: 3–12.</w:t>
      </w:r>
    </w:p>
    <w:p w14:paraId="56E77098"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Kleiber M (1975) The Fire of Life. An Introduction to Animal Energetics. R.E. Kteiger Publishing Co, Huntington, NY.</w:t>
      </w:r>
    </w:p>
    <w:p w14:paraId="07D7613F"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Lockyer C (1976) Body weights of some species of large whales. </w:t>
      </w:r>
      <w:r w:rsidRPr="00BD77E6">
        <w:rPr>
          <w:rFonts w:ascii="Times New Roman" w:hAnsi="Times New Roman" w:cs="Times New Roman"/>
          <w:i/>
          <w:iCs/>
          <w:noProof/>
          <w:sz w:val="24"/>
          <w:szCs w:val="24"/>
        </w:rPr>
        <w:t>ICES J Mar Sci</w:t>
      </w:r>
      <w:r w:rsidRPr="00BD77E6">
        <w:rPr>
          <w:rFonts w:ascii="Times New Roman" w:hAnsi="Times New Roman" w:cs="Times New Roman"/>
          <w:noProof/>
          <w:sz w:val="24"/>
          <w:szCs w:val="24"/>
        </w:rPr>
        <w:t xml:space="preserve"> 36: 259–273.</w:t>
      </w:r>
    </w:p>
    <w:p w14:paraId="6CBA622F"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Lockyer C (1981) Growth and energy budgets of large baleen whales from the Southern Hemisphere. </w:t>
      </w:r>
      <w:r w:rsidRPr="00BD77E6">
        <w:rPr>
          <w:rFonts w:ascii="Times New Roman" w:hAnsi="Times New Roman" w:cs="Times New Roman"/>
          <w:i/>
          <w:iCs/>
          <w:noProof/>
          <w:sz w:val="24"/>
          <w:szCs w:val="24"/>
        </w:rPr>
        <w:t>Mamm seas (FAO Fish Ser no 5)</w:t>
      </w:r>
      <w:r w:rsidRPr="00BD77E6">
        <w:rPr>
          <w:rFonts w:ascii="Times New Roman" w:hAnsi="Times New Roman" w:cs="Times New Roman"/>
          <w:noProof/>
          <w:sz w:val="24"/>
          <w:szCs w:val="24"/>
        </w:rPr>
        <w:t xml:space="preserve"> 3: 379–487.</w:t>
      </w:r>
    </w:p>
    <w:p w14:paraId="45559D09"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Lockyer C (1987) Evaluation of the role of fat reserves in relation to the ecology of North Atlantic fin and sei whales. </w:t>
      </w:r>
      <w:r w:rsidRPr="00BD77E6">
        <w:rPr>
          <w:rFonts w:ascii="Times New Roman" w:hAnsi="Times New Roman" w:cs="Times New Roman"/>
          <w:i/>
          <w:iCs/>
          <w:noProof/>
          <w:sz w:val="24"/>
          <w:szCs w:val="24"/>
        </w:rPr>
        <w:t>Approaches to Mar Mammal Energ A C Huntley, D P Costa, G A J Worthy M A Castellini (eds) Soc Mar Mammal - Spec Publ No 1</w:t>
      </w:r>
      <w:r w:rsidRPr="00BD77E6">
        <w:rPr>
          <w:rFonts w:ascii="Times New Roman" w:hAnsi="Times New Roman" w:cs="Times New Roman"/>
          <w:noProof/>
          <w:sz w:val="24"/>
          <w:szCs w:val="24"/>
        </w:rPr>
        <w:t>.</w:t>
      </w:r>
    </w:p>
    <w:p w14:paraId="007634C5"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Lockyer C (2007) All creatures great and smaller: a study in cetacean life history energetics. </w:t>
      </w:r>
      <w:r w:rsidRPr="00BD77E6">
        <w:rPr>
          <w:rFonts w:ascii="Times New Roman" w:hAnsi="Times New Roman" w:cs="Times New Roman"/>
          <w:i/>
          <w:iCs/>
          <w:noProof/>
          <w:sz w:val="24"/>
          <w:szCs w:val="24"/>
        </w:rPr>
        <w:t>J Mar Biol Assoc UK</w:t>
      </w:r>
      <w:r w:rsidRPr="00BD77E6">
        <w:rPr>
          <w:rFonts w:ascii="Times New Roman" w:hAnsi="Times New Roman" w:cs="Times New Roman"/>
          <w:noProof/>
          <w:sz w:val="24"/>
          <w:szCs w:val="24"/>
        </w:rPr>
        <w:t xml:space="preserve"> 87: 1035–1045.</w:t>
      </w:r>
    </w:p>
    <w:p w14:paraId="51D31C84"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Lunn D, Jackson C, Best N, Thomas A, Spiegelhalter D (2013) The BUGS Book: A Practical </w:t>
      </w:r>
      <w:r w:rsidRPr="00BD77E6">
        <w:rPr>
          <w:rFonts w:ascii="Times New Roman" w:hAnsi="Times New Roman" w:cs="Times New Roman"/>
          <w:noProof/>
          <w:sz w:val="24"/>
          <w:szCs w:val="24"/>
        </w:rPr>
        <w:lastRenderedPageBreak/>
        <w:t>Introduction to Bayesian Analysis. Chapman &amp; Hall/CRC, Boca Raton, Florida, USA.</w:t>
      </w:r>
    </w:p>
    <w:p w14:paraId="2AF9E193"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Miller PJO, Antunes RN, Wensveen PJ, Samarra FIP, Alves AC, Tyack PL, Kvadsheim PH, Kleivane L, Lam F-PA, Ainslie MA, </w:t>
      </w:r>
      <w:r w:rsidRPr="00BD77E6">
        <w:rPr>
          <w:rFonts w:ascii="Times New Roman" w:hAnsi="Times New Roman" w:cs="Times New Roman"/>
          <w:i/>
          <w:iCs/>
          <w:noProof/>
          <w:sz w:val="24"/>
          <w:szCs w:val="24"/>
        </w:rPr>
        <w:t>et al.</w:t>
      </w:r>
      <w:r w:rsidRPr="00BD77E6">
        <w:rPr>
          <w:rFonts w:ascii="Times New Roman" w:hAnsi="Times New Roman" w:cs="Times New Roman"/>
          <w:noProof/>
          <w:sz w:val="24"/>
          <w:szCs w:val="24"/>
        </w:rPr>
        <w:t xml:space="preserve"> (2014) Dose-response relationships for the onset of avoidance of sonar by free-ranging killer whales. </w:t>
      </w:r>
      <w:r w:rsidRPr="00BD77E6">
        <w:rPr>
          <w:rFonts w:ascii="Times New Roman" w:hAnsi="Times New Roman" w:cs="Times New Roman"/>
          <w:i/>
          <w:iCs/>
          <w:noProof/>
          <w:sz w:val="24"/>
          <w:szCs w:val="24"/>
        </w:rPr>
        <w:t>J Acoust Soc Am</w:t>
      </w:r>
      <w:r w:rsidRPr="00BD77E6">
        <w:rPr>
          <w:rFonts w:ascii="Times New Roman" w:hAnsi="Times New Roman" w:cs="Times New Roman"/>
          <w:noProof/>
          <w:sz w:val="24"/>
          <w:szCs w:val="24"/>
        </w:rPr>
        <w:t xml:space="preserve"> 135: 975.</w:t>
      </w:r>
    </w:p>
    <w:p w14:paraId="4F4F9FBD"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Oftedal OT (1997) Lactation in whales and dolphins: evidence of divergence between baleen- and toothed-species. </w:t>
      </w:r>
      <w:r w:rsidRPr="00BD77E6">
        <w:rPr>
          <w:rFonts w:ascii="Times New Roman" w:hAnsi="Times New Roman" w:cs="Times New Roman"/>
          <w:i/>
          <w:iCs/>
          <w:noProof/>
          <w:sz w:val="24"/>
          <w:szCs w:val="24"/>
        </w:rPr>
        <w:t>J Mammary Gland Biol Neoplasia</w:t>
      </w:r>
      <w:r w:rsidRPr="00BD77E6">
        <w:rPr>
          <w:rFonts w:ascii="Times New Roman" w:hAnsi="Times New Roman" w:cs="Times New Roman"/>
          <w:noProof/>
          <w:sz w:val="24"/>
          <w:szCs w:val="24"/>
        </w:rPr>
        <w:t xml:space="preserve"> 2: 205–230.</w:t>
      </w:r>
    </w:p>
    <w:p w14:paraId="3CAFFF9C"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Pirotta E, Mangel M, Costa DP, Goldbogen J, Harwood J, Hin V, Irvine LM, Mate BR, McHuron EA, Palacios DM, </w:t>
      </w:r>
      <w:r w:rsidRPr="00BD77E6">
        <w:rPr>
          <w:rFonts w:ascii="Times New Roman" w:hAnsi="Times New Roman" w:cs="Times New Roman"/>
          <w:i/>
          <w:iCs/>
          <w:noProof/>
          <w:sz w:val="24"/>
          <w:szCs w:val="24"/>
        </w:rPr>
        <w:t>et al.</w:t>
      </w:r>
      <w:r w:rsidRPr="00BD77E6">
        <w:rPr>
          <w:rFonts w:ascii="Times New Roman" w:hAnsi="Times New Roman" w:cs="Times New Roman"/>
          <w:noProof/>
          <w:sz w:val="24"/>
          <w:szCs w:val="24"/>
        </w:rPr>
        <w:t xml:space="preserve"> (2019) Anthropogenic disturbance in a changing environment: modelling lifetime reproductive success to predict the consequences of multiple stressors on a migratory population. </w:t>
      </w:r>
      <w:r w:rsidRPr="00BD77E6">
        <w:rPr>
          <w:rFonts w:ascii="Times New Roman" w:hAnsi="Times New Roman" w:cs="Times New Roman"/>
          <w:i/>
          <w:iCs/>
          <w:noProof/>
          <w:sz w:val="24"/>
          <w:szCs w:val="24"/>
        </w:rPr>
        <w:t>Oikos</w:t>
      </w:r>
      <w:r w:rsidRPr="00BD77E6">
        <w:rPr>
          <w:rFonts w:ascii="Times New Roman" w:hAnsi="Times New Roman" w:cs="Times New Roman"/>
          <w:noProof/>
          <w:sz w:val="24"/>
          <w:szCs w:val="24"/>
        </w:rPr>
        <w:t xml:space="preserve"> 128: 1340–1357.</w:t>
      </w:r>
    </w:p>
    <w:p w14:paraId="46EDD75E"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Pirotta E, Mangel M, Costa DP, Mate B, Goldbogen J, Palacios DM, Huckstadt L, McHuron EA, Schwarz L, New L (2018) A dynamic state model of migratory behavior and physiology to assess the consequences of environmental variation and anthropogenic disturbance on marine vertebrates. </w:t>
      </w:r>
      <w:r w:rsidRPr="00BD77E6">
        <w:rPr>
          <w:rFonts w:ascii="Times New Roman" w:hAnsi="Times New Roman" w:cs="Times New Roman"/>
          <w:i/>
          <w:iCs/>
          <w:noProof/>
          <w:sz w:val="24"/>
          <w:szCs w:val="24"/>
        </w:rPr>
        <w:t>Am Nat</w:t>
      </w:r>
      <w:r w:rsidRPr="00BD77E6">
        <w:rPr>
          <w:rFonts w:ascii="Times New Roman" w:hAnsi="Times New Roman" w:cs="Times New Roman"/>
          <w:noProof/>
          <w:sz w:val="24"/>
          <w:szCs w:val="24"/>
        </w:rPr>
        <w:t xml:space="preserve"> 191: E40–E56.</w:t>
      </w:r>
    </w:p>
    <w:p w14:paraId="2D6C06DE"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Potvin J, Goldbogen JA, Shadwick RE (2012) Metabolic expenditures of lunge feeding rorquals across scale: implications for the evolution of filter feeding and the limits to maximum body size. </w:t>
      </w:r>
      <w:r w:rsidRPr="00BD77E6">
        <w:rPr>
          <w:rFonts w:ascii="Times New Roman" w:hAnsi="Times New Roman" w:cs="Times New Roman"/>
          <w:i/>
          <w:iCs/>
          <w:noProof/>
          <w:sz w:val="24"/>
          <w:szCs w:val="24"/>
        </w:rPr>
        <w:t>PLoS One</w:t>
      </w:r>
      <w:r w:rsidRPr="00BD77E6">
        <w:rPr>
          <w:rFonts w:ascii="Times New Roman" w:hAnsi="Times New Roman" w:cs="Times New Roman"/>
          <w:noProof/>
          <w:sz w:val="24"/>
          <w:szCs w:val="24"/>
        </w:rPr>
        <w:t xml:space="preserve"> 7: e44854.</w:t>
      </w:r>
    </w:p>
    <w:p w14:paraId="245044B2"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Southall BL, DeRuiter SL, Friedlaender A, Stimpert AK, Goldbogen JA, Hazen E, Casey C, Fregosi S, Cade DE, Allen AN, </w:t>
      </w:r>
      <w:r w:rsidRPr="00BD77E6">
        <w:rPr>
          <w:rFonts w:ascii="Times New Roman" w:hAnsi="Times New Roman" w:cs="Times New Roman"/>
          <w:i/>
          <w:iCs/>
          <w:noProof/>
          <w:sz w:val="24"/>
          <w:szCs w:val="24"/>
        </w:rPr>
        <w:t>et al.</w:t>
      </w:r>
      <w:r w:rsidRPr="00BD77E6">
        <w:rPr>
          <w:rFonts w:ascii="Times New Roman" w:hAnsi="Times New Roman" w:cs="Times New Roman"/>
          <w:noProof/>
          <w:sz w:val="24"/>
          <w:szCs w:val="24"/>
        </w:rPr>
        <w:t xml:space="preserve"> (2019a) Behavioral responses of individual blue whales (</w:t>
      </w:r>
      <w:r w:rsidRPr="00BD77E6">
        <w:rPr>
          <w:rFonts w:ascii="Times New Roman" w:hAnsi="Times New Roman" w:cs="Times New Roman"/>
          <w:i/>
          <w:iCs/>
          <w:noProof/>
          <w:sz w:val="24"/>
          <w:szCs w:val="24"/>
        </w:rPr>
        <w:t>Balaenoptera musculus</w:t>
      </w:r>
      <w:r w:rsidRPr="00BD77E6">
        <w:rPr>
          <w:rFonts w:ascii="Times New Roman" w:hAnsi="Times New Roman" w:cs="Times New Roman"/>
          <w:noProof/>
          <w:sz w:val="24"/>
          <w:szCs w:val="24"/>
        </w:rPr>
        <w:t xml:space="preserve">) to mid-frequency military sonar. </w:t>
      </w:r>
      <w:r w:rsidRPr="00BD77E6">
        <w:rPr>
          <w:rFonts w:ascii="Times New Roman" w:hAnsi="Times New Roman" w:cs="Times New Roman"/>
          <w:i/>
          <w:iCs/>
          <w:noProof/>
          <w:sz w:val="24"/>
          <w:szCs w:val="24"/>
        </w:rPr>
        <w:t>J Exp Biol</w:t>
      </w:r>
      <w:r w:rsidRPr="00BD77E6">
        <w:rPr>
          <w:rFonts w:ascii="Times New Roman" w:hAnsi="Times New Roman" w:cs="Times New Roman"/>
          <w:noProof/>
          <w:sz w:val="24"/>
          <w:szCs w:val="24"/>
        </w:rPr>
        <w:t xml:space="preserve"> 222: 190637.</w:t>
      </w:r>
    </w:p>
    <w:p w14:paraId="36683688"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Southall BL, Finneran JJ, Reichmuth C, Nachtigall PE, Ketten DR, Bowles AE, Ellison WT, </w:t>
      </w:r>
      <w:r w:rsidRPr="00BD77E6">
        <w:rPr>
          <w:rFonts w:ascii="Times New Roman" w:hAnsi="Times New Roman" w:cs="Times New Roman"/>
          <w:noProof/>
          <w:sz w:val="24"/>
          <w:szCs w:val="24"/>
        </w:rPr>
        <w:lastRenderedPageBreak/>
        <w:t xml:space="preserve">Nowacek DP, Tyack PL (2019b) Marine mammal noise exposure criteria: Updated scientific recommendations for residual hearing effects. </w:t>
      </w:r>
      <w:r w:rsidRPr="00BD77E6">
        <w:rPr>
          <w:rFonts w:ascii="Times New Roman" w:hAnsi="Times New Roman" w:cs="Times New Roman"/>
          <w:i/>
          <w:iCs/>
          <w:noProof/>
          <w:sz w:val="24"/>
          <w:szCs w:val="24"/>
        </w:rPr>
        <w:t>Aquat Mamm</w:t>
      </w:r>
      <w:r w:rsidRPr="00BD77E6">
        <w:rPr>
          <w:rFonts w:ascii="Times New Roman" w:hAnsi="Times New Roman" w:cs="Times New Roman"/>
          <w:noProof/>
          <w:sz w:val="24"/>
          <w:szCs w:val="24"/>
        </w:rPr>
        <w:t xml:space="preserve"> 45: 125–232.</w:t>
      </w:r>
    </w:p>
    <w:p w14:paraId="5700DF63"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Szesciorka AR, Calambokidis J, Harvey JT (2016) Testing tag attachments to increase the attachment duration of archival tags on baleen whales. </w:t>
      </w:r>
      <w:r w:rsidRPr="00BD77E6">
        <w:rPr>
          <w:rFonts w:ascii="Times New Roman" w:hAnsi="Times New Roman" w:cs="Times New Roman"/>
          <w:i/>
          <w:iCs/>
          <w:noProof/>
          <w:sz w:val="24"/>
          <w:szCs w:val="24"/>
        </w:rPr>
        <w:t>Anim Biotelemetry</w:t>
      </w:r>
      <w:r w:rsidRPr="00BD77E6">
        <w:rPr>
          <w:rFonts w:ascii="Times New Roman" w:hAnsi="Times New Roman" w:cs="Times New Roman"/>
          <w:noProof/>
          <w:sz w:val="24"/>
          <w:szCs w:val="24"/>
        </w:rPr>
        <w:t xml:space="preserve"> 4: 18.</w:t>
      </w:r>
    </w:p>
    <w:p w14:paraId="5786CCF4"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szCs w:val="24"/>
        </w:rPr>
      </w:pPr>
      <w:r w:rsidRPr="00BD77E6">
        <w:rPr>
          <w:rFonts w:ascii="Times New Roman" w:hAnsi="Times New Roman" w:cs="Times New Roman"/>
          <w:noProof/>
          <w:sz w:val="24"/>
          <w:szCs w:val="24"/>
        </w:rPr>
        <w:t xml:space="preserve">Ward WD, Cushing EM, Burns EM (1976) Effective quiet and moderate TTS: Implications for noise exposure standards. </w:t>
      </w:r>
      <w:r w:rsidRPr="00BD77E6">
        <w:rPr>
          <w:rFonts w:ascii="Times New Roman" w:hAnsi="Times New Roman" w:cs="Times New Roman"/>
          <w:i/>
          <w:iCs/>
          <w:noProof/>
          <w:sz w:val="24"/>
          <w:szCs w:val="24"/>
        </w:rPr>
        <w:t>J Acoust Soc Am</w:t>
      </w:r>
      <w:r w:rsidRPr="00BD77E6">
        <w:rPr>
          <w:rFonts w:ascii="Times New Roman" w:hAnsi="Times New Roman" w:cs="Times New Roman"/>
          <w:noProof/>
          <w:sz w:val="24"/>
          <w:szCs w:val="24"/>
        </w:rPr>
        <w:t xml:space="preserve"> 59: 160–165.</w:t>
      </w:r>
    </w:p>
    <w:p w14:paraId="69718D5F" w14:textId="77777777" w:rsidR="00BD77E6" w:rsidRPr="00BD77E6" w:rsidRDefault="00BD77E6" w:rsidP="00BD77E6">
      <w:pPr>
        <w:widowControl w:val="0"/>
        <w:autoSpaceDE w:val="0"/>
        <w:autoSpaceDN w:val="0"/>
        <w:adjustRightInd w:val="0"/>
        <w:spacing w:line="480" w:lineRule="auto"/>
        <w:ind w:left="480" w:hanging="480"/>
        <w:rPr>
          <w:rFonts w:ascii="Times New Roman" w:hAnsi="Times New Roman" w:cs="Times New Roman"/>
          <w:noProof/>
          <w:sz w:val="24"/>
        </w:rPr>
      </w:pPr>
      <w:r w:rsidRPr="00BD77E6">
        <w:rPr>
          <w:rFonts w:ascii="Times New Roman" w:hAnsi="Times New Roman" w:cs="Times New Roman"/>
          <w:noProof/>
          <w:sz w:val="24"/>
          <w:szCs w:val="24"/>
        </w:rPr>
        <w:t xml:space="preserve">Wenz GM (1962) Acoustic ambient noise in the ocean: spectra and sources. </w:t>
      </w:r>
      <w:r w:rsidRPr="00BD77E6">
        <w:rPr>
          <w:rFonts w:ascii="Times New Roman" w:hAnsi="Times New Roman" w:cs="Times New Roman"/>
          <w:i/>
          <w:iCs/>
          <w:noProof/>
          <w:sz w:val="24"/>
          <w:szCs w:val="24"/>
        </w:rPr>
        <w:t>J Acoust Soc Am</w:t>
      </w:r>
      <w:r w:rsidRPr="00BD77E6">
        <w:rPr>
          <w:rFonts w:ascii="Times New Roman" w:hAnsi="Times New Roman" w:cs="Times New Roman"/>
          <w:noProof/>
          <w:sz w:val="24"/>
          <w:szCs w:val="24"/>
        </w:rPr>
        <w:t xml:space="preserve"> 34: 1936–1956.</w:t>
      </w:r>
    </w:p>
    <w:p w14:paraId="64E39662" w14:textId="7F9B40DE" w:rsidR="00874BF3" w:rsidRPr="00890401" w:rsidRDefault="00861533" w:rsidP="00890401">
      <w:pPr>
        <w:spacing w:line="480" w:lineRule="auto"/>
        <w:rPr>
          <w:rFonts w:ascii="Times New Roman" w:hAnsi="Times New Roman" w:cs="Times New Roman"/>
          <w:sz w:val="24"/>
          <w:szCs w:val="24"/>
        </w:rPr>
      </w:pPr>
      <w:r w:rsidRPr="00890401">
        <w:rPr>
          <w:rFonts w:ascii="Times New Roman" w:hAnsi="Times New Roman" w:cs="Times New Roman"/>
          <w:sz w:val="24"/>
          <w:szCs w:val="24"/>
          <w:lang/>
        </w:rPr>
        <w:fldChar w:fldCharType="end"/>
      </w:r>
    </w:p>
    <w:sectPr w:rsidR="00874BF3" w:rsidRPr="00890401" w:rsidSect="00890401">
      <w:pgSz w:w="12240" w:h="15840" w:code="1"/>
      <w:pgMar w:top="1440" w:right="1440" w:bottom="1440" w:left="1440" w:header="720" w:footer="720" w:gutter="0"/>
      <w:lnNumType w:countBy="1" w:start="793"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434ED" w14:textId="77777777" w:rsidR="00722092" w:rsidRDefault="00722092" w:rsidP="0020348D">
      <w:pPr>
        <w:spacing w:after="0" w:line="240" w:lineRule="auto"/>
      </w:pPr>
      <w:r>
        <w:separator/>
      </w:r>
    </w:p>
  </w:endnote>
  <w:endnote w:type="continuationSeparator" w:id="0">
    <w:p w14:paraId="43CFBACF" w14:textId="77777777" w:rsidR="00722092" w:rsidRDefault="00722092" w:rsidP="0020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5070496"/>
      <w:docPartObj>
        <w:docPartGallery w:val="Page Numbers (Bottom of Page)"/>
        <w:docPartUnique/>
      </w:docPartObj>
    </w:sdtPr>
    <w:sdtEndPr>
      <w:rPr>
        <w:noProof/>
      </w:rPr>
    </w:sdtEndPr>
    <w:sdtContent>
      <w:p w14:paraId="0DC8C95C" w14:textId="6ADC0838" w:rsidR="00BD77E6" w:rsidRDefault="00BD7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D4CF0" w14:textId="77777777" w:rsidR="00BD77E6" w:rsidRDefault="00BD7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D1140" w14:textId="77777777" w:rsidR="00722092" w:rsidRDefault="00722092" w:rsidP="0020348D">
      <w:pPr>
        <w:spacing w:after="0" w:line="240" w:lineRule="auto"/>
      </w:pPr>
      <w:r>
        <w:separator/>
      </w:r>
    </w:p>
  </w:footnote>
  <w:footnote w:type="continuationSeparator" w:id="0">
    <w:p w14:paraId="656B8BE9" w14:textId="77777777" w:rsidR="00722092" w:rsidRDefault="00722092" w:rsidP="00203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B2949"/>
    <w:multiLevelType w:val="hybridMultilevel"/>
    <w:tmpl w:val="AAF86418"/>
    <w:lvl w:ilvl="0" w:tplc="4016F5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F722F4"/>
    <w:multiLevelType w:val="hybridMultilevel"/>
    <w:tmpl w:val="BB80AC28"/>
    <w:lvl w:ilvl="0" w:tplc="BD2CD4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C11998"/>
    <w:multiLevelType w:val="hybridMultilevel"/>
    <w:tmpl w:val="0E507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2F310E"/>
    <w:multiLevelType w:val="hybridMultilevel"/>
    <w:tmpl w:val="92D80E2C"/>
    <w:lvl w:ilvl="0" w:tplc="46441F84">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F892460"/>
    <w:multiLevelType w:val="hybridMultilevel"/>
    <w:tmpl w:val="E5DCC39C"/>
    <w:lvl w:ilvl="0" w:tplc="591AA2F4">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99A62E8"/>
    <w:multiLevelType w:val="hybridMultilevel"/>
    <w:tmpl w:val="B69E758E"/>
    <w:lvl w:ilvl="0" w:tplc="EDA20142">
      <w:start w:val="3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533"/>
    <w:rsid w:val="00082C9E"/>
    <w:rsid w:val="000A7521"/>
    <w:rsid w:val="00155A36"/>
    <w:rsid w:val="001872DB"/>
    <w:rsid w:val="001D4275"/>
    <w:rsid w:val="0020348D"/>
    <w:rsid w:val="00282024"/>
    <w:rsid w:val="002C0DCD"/>
    <w:rsid w:val="00315E24"/>
    <w:rsid w:val="003521C1"/>
    <w:rsid w:val="00413BDB"/>
    <w:rsid w:val="00464062"/>
    <w:rsid w:val="00486ED7"/>
    <w:rsid w:val="004C2831"/>
    <w:rsid w:val="00517704"/>
    <w:rsid w:val="005328B5"/>
    <w:rsid w:val="006D1DE9"/>
    <w:rsid w:val="00704EF2"/>
    <w:rsid w:val="00722092"/>
    <w:rsid w:val="00806ECB"/>
    <w:rsid w:val="00840C7C"/>
    <w:rsid w:val="00841EB6"/>
    <w:rsid w:val="00861533"/>
    <w:rsid w:val="00861B3E"/>
    <w:rsid w:val="00874BF3"/>
    <w:rsid w:val="00890401"/>
    <w:rsid w:val="00903333"/>
    <w:rsid w:val="00924A2A"/>
    <w:rsid w:val="009D4896"/>
    <w:rsid w:val="00AF6879"/>
    <w:rsid w:val="00B228B8"/>
    <w:rsid w:val="00B61968"/>
    <w:rsid w:val="00B624BE"/>
    <w:rsid w:val="00B8195E"/>
    <w:rsid w:val="00B94259"/>
    <w:rsid w:val="00BD301E"/>
    <w:rsid w:val="00BD77E6"/>
    <w:rsid w:val="00C2580B"/>
    <w:rsid w:val="00C550FE"/>
    <w:rsid w:val="00C72C05"/>
    <w:rsid w:val="00D0444E"/>
    <w:rsid w:val="00D2417F"/>
    <w:rsid w:val="00D45866"/>
    <w:rsid w:val="00DA225E"/>
    <w:rsid w:val="00DA73DC"/>
    <w:rsid w:val="00DD1C3A"/>
    <w:rsid w:val="00E07544"/>
    <w:rsid w:val="00E62B48"/>
    <w:rsid w:val="00E709E4"/>
    <w:rsid w:val="00EB3C1A"/>
    <w:rsid w:val="00F5652B"/>
    <w:rsid w:val="00FC44AB"/>
    <w:rsid w:val="00FC6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66182"/>
  <w15:chartTrackingRefBased/>
  <w15:docId w15:val="{B6E7E44C-1D53-4E78-9347-B69D18E3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5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533"/>
    <w:rPr>
      <w:rFonts w:ascii="Segoe UI" w:hAnsi="Segoe UI" w:cs="Segoe UI"/>
      <w:sz w:val="18"/>
      <w:szCs w:val="18"/>
      <w:lang/>
    </w:rPr>
  </w:style>
  <w:style w:type="paragraph" w:styleId="ListParagraph">
    <w:name w:val="List Paragraph"/>
    <w:basedOn w:val="Normal"/>
    <w:uiPriority w:val="34"/>
    <w:qFormat/>
    <w:rsid w:val="00861533"/>
    <w:pPr>
      <w:ind w:left="720"/>
      <w:contextualSpacing/>
    </w:pPr>
  </w:style>
  <w:style w:type="character" w:styleId="PlaceholderText">
    <w:name w:val="Placeholder Text"/>
    <w:basedOn w:val="DefaultParagraphFont"/>
    <w:uiPriority w:val="99"/>
    <w:semiHidden/>
    <w:rsid w:val="00861533"/>
    <w:rPr>
      <w:color w:val="808080"/>
    </w:rPr>
  </w:style>
  <w:style w:type="paragraph" w:styleId="Header">
    <w:name w:val="header"/>
    <w:basedOn w:val="Normal"/>
    <w:link w:val="HeaderChar"/>
    <w:uiPriority w:val="99"/>
    <w:unhideWhenUsed/>
    <w:rsid w:val="00861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33"/>
  </w:style>
  <w:style w:type="paragraph" w:styleId="Footer">
    <w:name w:val="footer"/>
    <w:basedOn w:val="Normal"/>
    <w:link w:val="FooterChar"/>
    <w:uiPriority w:val="99"/>
    <w:unhideWhenUsed/>
    <w:rsid w:val="00861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33"/>
  </w:style>
  <w:style w:type="character" w:styleId="CommentReference">
    <w:name w:val="annotation reference"/>
    <w:basedOn w:val="DefaultParagraphFont"/>
    <w:uiPriority w:val="99"/>
    <w:semiHidden/>
    <w:unhideWhenUsed/>
    <w:rsid w:val="00861533"/>
    <w:rPr>
      <w:sz w:val="16"/>
      <w:szCs w:val="16"/>
    </w:rPr>
  </w:style>
  <w:style w:type="paragraph" w:styleId="CommentText">
    <w:name w:val="annotation text"/>
    <w:basedOn w:val="Normal"/>
    <w:link w:val="CommentTextChar"/>
    <w:uiPriority w:val="99"/>
    <w:unhideWhenUsed/>
    <w:rsid w:val="00861533"/>
    <w:pPr>
      <w:spacing w:line="240" w:lineRule="auto"/>
    </w:pPr>
    <w:rPr>
      <w:sz w:val="20"/>
      <w:szCs w:val="20"/>
    </w:rPr>
  </w:style>
  <w:style w:type="character" w:customStyle="1" w:styleId="CommentTextChar">
    <w:name w:val="Comment Text Char"/>
    <w:basedOn w:val="DefaultParagraphFont"/>
    <w:link w:val="CommentText"/>
    <w:uiPriority w:val="99"/>
    <w:rsid w:val="00861533"/>
    <w:rPr>
      <w:sz w:val="20"/>
      <w:szCs w:val="20"/>
    </w:rPr>
  </w:style>
  <w:style w:type="paragraph" w:styleId="CommentSubject">
    <w:name w:val="annotation subject"/>
    <w:basedOn w:val="CommentText"/>
    <w:next w:val="CommentText"/>
    <w:link w:val="CommentSubjectChar"/>
    <w:uiPriority w:val="99"/>
    <w:semiHidden/>
    <w:unhideWhenUsed/>
    <w:rsid w:val="00861533"/>
    <w:rPr>
      <w:b/>
      <w:bCs/>
    </w:rPr>
  </w:style>
  <w:style w:type="character" w:customStyle="1" w:styleId="CommentSubjectChar">
    <w:name w:val="Comment Subject Char"/>
    <w:basedOn w:val="CommentTextChar"/>
    <w:link w:val="CommentSubject"/>
    <w:uiPriority w:val="99"/>
    <w:semiHidden/>
    <w:rsid w:val="00861533"/>
    <w:rPr>
      <w:b/>
      <w:bCs/>
      <w:sz w:val="20"/>
      <w:szCs w:val="20"/>
    </w:rPr>
  </w:style>
  <w:style w:type="character" w:styleId="Hyperlink">
    <w:name w:val="Hyperlink"/>
    <w:basedOn w:val="DefaultParagraphFont"/>
    <w:uiPriority w:val="99"/>
    <w:unhideWhenUsed/>
    <w:rsid w:val="00861533"/>
    <w:rPr>
      <w:color w:val="0000FF"/>
      <w:u w:val="single"/>
    </w:rPr>
  </w:style>
  <w:style w:type="character" w:customStyle="1" w:styleId="UnresolvedMention1">
    <w:name w:val="Unresolved Mention1"/>
    <w:basedOn w:val="DefaultParagraphFont"/>
    <w:uiPriority w:val="99"/>
    <w:semiHidden/>
    <w:unhideWhenUsed/>
    <w:rsid w:val="00861533"/>
    <w:rPr>
      <w:color w:val="605E5C"/>
      <w:shd w:val="clear" w:color="auto" w:fill="E1DFDD"/>
    </w:rPr>
  </w:style>
  <w:style w:type="character" w:styleId="Emphasis">
    <w:name w:val="Emphasis"/>
    <w:basedOn w:val="DefaultParagraphFont"/>
    <w:uiPriority w:val="20"/>
    <w:qFormat/>
    <w:rsid w:val="00861533"/>
    <w:rPr>
      <w:i/>
      <w:iCs/>
    </w:rPr>
  </w:style>
  <w:style w:type="table" w:styleId="TableGrid">
    <w:name w:val="Table Grid"/>
    <w:basedOn w:val="TableNormal"/>
    <w:uiPriority w:val="39"/>
    <w:rsid w:val="00861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61533"/>
  </w:style>
  <w:style w:type="character" w:styleId="UnresolvedMention">
    <w:name w:val="Unresolved Mention"/>
    <w:basedOn w:val="DefaultParagraphFont"/>
    <w:uiPriority w:val="99"/>
    <w:semiHidden/>
    <w:unhideWhenUsed/>
    <w:rsid w:val="00861533"/>
    <w:rPr>
      <w:color w:val="605E5C"/>
      <w:shd w:val="clear" w:color="auto" w:fill="E1DFDD"/>
    </w:rPr>
  </w:style>
  <w:style w:type="paragraph" w:styleId="Revision">
    <w:name w:val="Revision"/>
    <w:hidden/>
    <w:uiPriority w:val="99"/>
    <w:semiHidden/>
    <w:rsid w:val="00861533"/>
    <w:pPr>
      <w:spacing w:after="0" w:line="240" w:lineRule="auto"/>
    </w:pPr>
  </w:style>
  <w:style w:type="paragraph" w:styleId="NormalWeb">
    <w:name w:val="Normal (Web)"/>
    <w:basedOn w:val="Normal"/>
    <w:uiPriority w:val="99"/>
    <w:unhideWhenUsed/>
    <w:rsid w:val="00861533"/>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890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7418C-2124-4DB9-8C54-24045A1C3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32</Pages>
  <Words>23166</Words>
  <Characters>132051</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Pirotta</dc:creator>
  <cp:keywords/>
  <dc:description/>
  <cp:lastModifiedBy>Nostrax5@gmail.com</cp:lastModifiedBy>
  <cp:revision>40</cp:revision>
  <dcterms:created xsi:type="dcterms:W3CDTF">2020-06-23T12:13:00Z</dcterms:created>
  <dcterms:modified xsi:type="dcterms:W3CDTF">2020-12-21T01:00:00Z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http://www.zotero.org/styles/animal-conservation</vt:lpwstr>
  </property>
  <property fmtid="{D5CDD505-2E9C-101B-9397-08002B2CF9AE}" pid="3" name="Mendeley Recent Style Name 0_1">
    <vt:lpwstr>Animal Conservation</vt:lpwstr>
  </property>
  <property fmtid="{D5CDD505-2E9C-101B-9397-08002B2CF9AE}" pid="4" name="Mendeley Recent Style Id 1_1">
    <vt:lpwstr>http://www.zotero.org/styles/biological-conservation</vt:lpwstr>
  </property>
  <property fmtid="{D5CDD505-2E9C-101B-9397-08002B2CF9AE}" pid="5" name="Mendeley Recent Style Name 1_1">
    <vt:lpwstr>Biological Conservation</vt:lpwstr>
  </property>
  <property fmtid="{D5CDD505-2E9C-101B-9397-08002B2CF9AE}" pid="6" name="Mendeley Recent Style Id 2_1">
    <vt:lpwstr>http://www.zotero.org/styles/conservation-physiology</vt:lpwstr>
  </property>
  <property fmtid="{D5CDD505-2E9C-101B-9397-08002B2CF9AE}" pid="7" name="Mendeley Recent Style Name 2_1">
    <vt:lpwstr>Conservation Physiology</vt:lpwstr>
  </property>
  <property fmtid="{D5CDD505-2E9C-101B-9397-08002B2CF9AE}" pid="8" name="Mendeley Recent Style Id 3_1">
    <vt:lpwstr>http://www.zotero.org/styles/ecological-applications</vt:lpwstr>
  </property>
  <property fmtid="{D5CDD505-2E9C-101B-9397-08002B2CF9AE}" pid="9" name="Mendeley Recent Style Name 3_1">
    <vt:lpwstr>Ecological Applications</vt:lpwstr>
  </property>
  <property fmtid="{D5CDD505-2E9C-101B-9397-08002B2CF9AE}" pid="10" name="Mendeley Recent Style Id 4_1">
    <vt:lpwstr>http://www.zotero.org/styles/ecological-modelling</vt:lpwstr>
  </property>
  <property fmtid="{D5CDD505-2E9C-101B-9397-08002B2CF9AE}" pid="11" name="Mendeley Recent Style Name 4_1">
    <vt:lpwstr>Ecological Modelling</vt:lpwstr>
  </property>
  <property fmtid="{D5CDD505-2E9C-101B-9397-08002B2CF9AE}" pid="12" name="Mendeley Recent Style Id 5_1">
    <vt:lpwstr>http://www.zotero.org/styles/journal-of-animal-ecology</vt:lpwstr>
  </property>
  <property fmtid="{D5CDD505-2E9C-101B-9397-08002B2CF9AE}" pid="13" name="Mendeley Recent Style Name 5_1">
    <vt:lpwstr>Journal of Animal Ecology</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http://www.zotero.org/styles/marine-ecology-progress-series</vt:lpwstr>
  </property>
  <property fmtid="{D5CDD505-2E9C-101B-9397-08002B2CF9AE}" pid="17" name="Mendeley Recent Style Name 7_1">
    <vt:lpwstr>Marine Ecology Progress Series</vt:lpwstr>
  </property>
  <property fmtid="{D5CDD505-2E9C-101B-9397-08002B2CF9AE}" pid="18" name="Mendeley Recent Style Id 8_1">
    <vt:lpwstr>http://www.zotero.org/styles/proceedings-of-the-royal-society-a</vt:lpwstr>
  </property>
  <property fmtid="{D5CDD505-2E9C-101B-9397-08002B2CF9AE}" pid="19" name="Mendeley Recent Style Name 8_1">
    <vt:lpwstr>Proceedings of the Royal Society A</vt:lpwstr>
  </property>
  <property fmtid="{D5CDD505-2E9C-101B-9397-08002B2CF9AE}" pid="20" name="Mendeley Recent Style Id 9_1">
    <vt:lpwstr>http://www.zotero.org/styles/the-american-naturalist</vt:lpwstr>
  </property>
  <property fmtid="{D5CDD505-2E9C-101B-9397-08002B2CF9AE}" pid="21" name="Mendeley Recent Style Name 9_1">
    <vt:lpwstr>The American Naturalist</vt:lpwstr>
  </property>
  <property fmtid="{D5CDD505-2E9C-101B-9397-08002B2CF9AE}" pid="22" name="Mendeley Document_1">
    <vt:lpwstr>True</vt:lpwstr>
  </property>
  <property fmtid="{D5CDD505-2E9C-101B-9397-08002B2CF9AE}" pid="23" name="Mendeley Citation Style_1">
    <vt:lpwstr>http://www.zotero.org/styles/conservation-physiology</vt:lpwstr>
  </property>
  <property fmtid="{D5CDD505-2E9C-101B-9397-08002B2CF9AE}" pid="24" name="Mendeley Unique User Id_1">
    <vt:lpwstr>246e7881-5b1b-3283-93c2-4edc24b4cdb4</vt:lpwstr>
  </property>
</Properties>
</file>